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3E7A" w14:textId="77777777" w:rsidR="00953AC7" w:rsidRDefault="00953AC7" w:rsidP="006A663E">
      <w:pPr>
        <w:jc w:val="center"/>
        <w:rPr>
          <w:b/>
        </w:rPr>
      </w:pPr>
      <w:bookmarkStart w:id="0" w:name="_GoBack"/>
      <w:bookmarkEnd w:id="0"/>
    </w:p>
    <w:p w14:paraId="0677CC5B" w14:textId="77777777" w:rsidR="006A663E" w:rsidRDefault="001E13AE" w:rsidP="006A663E">
      <w:pPr>
        <w:jc w:val="center"/>
        <w:rPr>
          <w:b/>
        </w:rPr>
      </w:pPr>
      <w:r>
        <w:rPr>
          <w:b/>
        </w:rPr>
        <w:t xml:space="preserve">ATTACHMENT </w:t>
      </w:r>
      <w:r w:rsidR="00086BD9">
        <w:rPr>
          <w:b/>
        </w:rPr>
        <w:t>2</w:t>
      </w:r>
    </w:p>
    <w:p w14:paraId="3CE76041" w14:textId="77777777" w:rsidR="006A663E" w:rsidRDefault="006A663E" w:rsidP="006A663E">
      <w:pPr>
        <w:jc w:val="center"/>
        <w:rPr>
          <w:b/>
        </w:rPr>
      </w:pPr>
    </w:p>
    <w:p w14:paraId="13646300" w14:textId="77777777" w:rsidR="006A663E" w:rsidRDefault="006A663E" w:rsidP="006A663E">
      <w:pPr>
        <w:jc w:val="center"/>
        <w:rPr>
          <w:b/>
        </w:rPr>
      </w:pPr>
      <w:r>
        <w:rPr>
          <w:b/>
        </w:rPr>
        <w:t xml:space="preserve">VIRGINIA APPLICATION FOR </w:t>
      </w:r>
      <w:r w:rsidR="00291198">
        <w:rPr>
          <w:b/>
        </w:rPr>
        <w:t xml:space="preserve">FEDERAL </w:t>
      </w:r>
      <w:r>
        <w:rPr>
          <w:b/>
        </w:rPr>
        <w:t>FY 20</w:t>
      </w:r>
      <w:r w:rsidR="00291198">
        <w:rPr>
          <w:b/>
        </w:rPr>
        <w:t>16</w:t>
      </w:r>
      <w:r>
        <w:rPr>
          <w:b/>
        </w:rPr>
        <w:t xml:space="preserve"> JUSTICE ASSISTANCE GRANT FUNDING—PROGRAM NARRATIVE</w:t>
      </w:r>
    </w:p>
    <w:p w14:paraId="0D36B21F" w14:textId="77777777" w:rsidR="006A663E" w:rsidRDefault="006A663E" w:rsidP="00C3245A">
      <w:pPr>
        <w:ind w:firstLine="720"/>
        <w:rPr>
          <w:b/>
        </w:rPr>
      </w:pPr>
    </w:p>
    <w:p w14:paraId="065C0ECE" w14:textId="77777777" w:rsidR="006A663E" w:rsidRDefault="006A663E" w:rsidP="00C3245A">
      <w:pPr>
        <w:ind w:firstLine="720"/>
        <w:rPr>
          <w:b/>
        </w:rPr>
      </w:pPr>
    </w:p>
    <w:p w14:paraId="14B0A983" w14:textId="77777777" w:rsidR="004D23BC" w:rsidRPr="00E9568D" w:rsidRDefault="00A15E82" w:rsidP="00E9568D">
      <w:pPr>
        <w:rPr>
          <w:b/>
          <w:i/>
        </w:rPr>
      </w:pPr>
      <w:r>
        <w:rPr>
          <w:b/>
          <w:i/>
        </w:rPr>
        <w:t>Statement of the Problem</w:t>
      </w:r>
    </w:p>
    <w:p w14:paraId="5863D4AA" w14:textId="77777777" w:rsidR="00E9568D" w:rsidRDefault="00E9568D" w:rsidP="00E63654">
      <w:pPr>
        <w:autoSpaceDE w:val="0"/>
        <w:autoSpaceDN w:val="0"/>
        <w:adjustRightInd w:val="0"/>
        <w:ind w:firstLine="720"/>
      </w:pPr>
    </w:p>
    <w:p w14:paraId="08E261F1" w14:textId="77777777" w:rsidR="00E9568D" w:rsidRDefault="00E9568D" w:rsidP="00E63654">
      <w:pPr>
        <w:autoSpaceDE w:val="0"/>
        <w:autoSpaceDN w:val="0"/>
        <w:adjustRightInd w:val="0"/>
        <w:ind w:firstLine="720"/>
      </w:pPr>
      <w:r>
        <w:t xml:space="preserve">Virginia’s State Administering Agency, the Department of Criminal Justice Services (DCJS), has broad statutory responsibilities for criminal justice planning and coordination of programs.  </w:t>
      </w:r>
    </w:p>
    <w:p w14:paraId="6FD40868" w14:textId="77777777" w:rsidR="00E9568D" w:rsidRDefault="00E9568D" w:rsidP="00E63654">
      <w:pPr>
        <w:autoSpaceDE w:val="0"/>
        <w:autoSpaceDN w:val="0"/>
        <w:adjustRightInd w:val="0"/>
        <w:ind w:firstLine="720"/>
      </w:pPr>
    </w:p>
    <w:p w14:paraId="34535DEA" w14:textId="77777777" w:rsidR="00D06A9A" w:rsidRDefault="001A0611" w:rsidP="00E63654">
      <w:pPr>
        <w:autoSpaceDE w:val="0"/>
        <w:autoSpaceDN w:val="0"/>
        <w:adjustRightInd w:val="0"/>
        <w:ind w:firstLine="720"/>
      </w:pPr>
      <w:r>
        <w:t>The</w:t>
      </w:r>
      <w:r w:rsidR="00EE396F">
        <w:t xml:space="preserve"> </w:t>
      </w:r>
      <w:r w:rsidR="00E9568D">
        <w:t>FY’16 JAG</w:t>
      </w:r>
      <w:r w:rsidR="004D23BC">
        <w:t xml:space="preserve"> funds will be used to support local and state projects and activities </w:t>
      </w:r>
      <w:r w:rsidR="00774E81">
        <w:t>that address</w:t>
      </w:r>
      <w:r w:rsidR="00977EA9">
        <w:t xml:space="preserve"> </w:t>
      </w:r>
      <w:r w:rsidR="009B1DFC">
        <w:t xml:space="preserve">many of </w:t>
      </w:r>
      <w:r w:rsidR="00977EA9">
        <w:t>the issues</w:t>
      </w:r>
      <w:r w:rsidR="00920F87">
        <w:t xml:space="preserve"> </w:t>
      </w:r>
      <w:r w:rsidR="008A72AF">
        <w:t xml:space="preserve">and needs </w:t>
      </w:r>
      <w:r w:rsidR="00774E81">
        <w:t xml:space="preserve">identified </w:t>
      </w:r>
      <w:r w:rsidR="00261F03">
        <w:t xml:space="preserve">in the </w:t>
      </w:r>
      <w:r w:rsidR="00E9568D">
        <w:t>work noted below</w:t>
      </w:r>
      <w:r w:rsidR="00774E81">
        <w:t>.</w:t>
      </w:r>
      <w:r w:rsidR="00151C0C">
        <w:t xml:space="preserve">  </w:t>
      </w:r>
      <w:r w:rsidR="00D06A9A">
        <w:t>As part of our ongoing effort to promote the use of evidence-based practices (EBP), a</w:t>
      </w:r>
      <w:r w:rsidR="00955EAF">
        <w:t>ll applic</w:t>
      </w:r>
      <w:r w:rsidR="00507A5A">
        <w:t xml:space="preserve">ants </w:t>
      </w:r>
      <w:r w:rsidR="00A7333F">
        <w:t xml:space="preserve">for funds for new projects </w:t>
      </w:r>
      <w:r w:rsidR="00507A5A">
        <w:t>will be required</w:t>
      </w:r>
      <w:r w:rsidR="00955EAF">
        <w:t xml:space="preserve"> to incorporate </w:t>
      </w:r>
      <w:r w:rsidR="00D06A9A">
        <w:t>them</w:t>
      </w:r>
      <w:r w:rsidR="00955EAF">
        <w:t xml:space="preserve"> in</w:t>
      </w:r>
      <w:r w:rsidR="00D06A9A">
        <w:t>to</w:t>
      </w:r>
      <w:r w:rsidR="00955EAF">
        <w:t xml:space="preserve"> the projects they propose</w:t>
      </w:r>
      <w:r w:rsidR="00D06A9A">
        <w:t>; and grant guidelines will provide links to EBP resources available from the Justice Department and other sources</w:t>
      </w:r>
      <w:r w:rsidR="00955EAF">
        <w:t xml:space="preserve">. </w:t>
      </w:r>
    </w:p>
    <w:p w14:paraId="7D46B5A4" w14:textId="77777777" w:rsidR="00D06A9A" w:rsidRDefault="00D06A9A" w:rsidP="00E63654">
      <w:pPr>
        <w:autoSpaceDE w:val="0"/>
        <w:autoSpaceDN w:val="0"/>
        <w:adjustRightInd w:val="0"/>
        <w:ind w:firstLine="720"/>
      </w:pPr>
    </w:p>
    <w:p w14:paraId="1CB35A67" w14:textId="77777777" w:rsidR="00F94725" w:rsidRDefault="00E63654" w:rsidP="00E63654">
      <w:pPr>
        <w:autoSpaceDE w:val="0"/>
        <w:autoSpaceDN w:val="0"/>
        <w:adjustRightInd w:val="0"/>
        <w:ind w:firstLine="720"/>
      </w:pPr>
      <w:r>
        <w:t xml:space="preserve">We expect to award grants </w:t>
      </w:r>
      <w:r w:rsidR="00151C0C">
        <w:t>in these areas:</w:t>
      </w:r>
    </w:p>
    <w:p w14:paraId="279FE4C8" w14:textId="77777777" w:rsidR="003933F1" w:rsidRDefault="003933F1" w:rsidP="009A19B5">
      <w:pPr>
        <w:autoSpaceDE w:val="0"/>
        <w:autoSpaceDN w:val="0"/>
        <w:adjustRightInd w:val="0"/>
        <w:ind w:firstLine="720"/>
      </w:pPr>
    </w:p>
    <w:p w14:paraId="3C188B72" w14:textId="77777777" w:rsidR="003933F1" w:rsidRDefault="00151C0C" w:rsidP="003933F1">
      <w:pPr>
        <w:rPr>
          <w:b/>
        </w:rPr>
      </w:pPr>
      <w:r>
        <w:rPr>
          <w:b/>
        </w:rPr>
        <w:t>Law Enforcement</w:t>
      </w:r>
    </w:p>
    <w:p w14:paraId="14AA7680" w14:textId="77777777" w:rsidR="00526347" w:rsidRDefault="00526347" w:rsidP="003933F1"/>
    <w:p w14:paraId="6A90B70F" w14:textId="77777777" w:rsidR="003933F1" w:rsidRDefault="0028346E" w:rsidP="003933F1">
      <w:r>
        <w:t>Evidence-based p</w:t>
      </w:r>
      <w:r w:rsidR="00151C0C">
        <w:t>rojects</w:t>
      </w:r>
      <w:r w:rsidR="003933F1">
        <w:t xml:space="preserve"> that: </w:t>
      </w:r>
    </w:p>
    <w:p w14:paraId="4CCB9AE2" w14:textId="77777777" w:rsidR="003933F1" w:rsidRDefault="003933F1" w:rsidP="003933F1">
      <w:pPr>
        <w:pStyle w:val="BodyText"/>
        <w:ind w:left="720" w:firstLine="360"/>
        <w:rPr>
          <w:szCs w:val="24"/>
        </w:rPr>
      </w:pPr>
    </w:p>
    <w:p w14:paraId="3A01A12D" w14:textId="14995008" w:rsidR="00151C0C" w:rsidRDefault="00151C0C" w:rsidP="003933F1">
      <w:pPr>
        <w:numPr>
          <w:ilvl w:val="0"/>
          <w:numId w:val="8"/>
        </w:numPr>
      </w:pPr>
      <w:bookmarkStart w:id="1" w:name="OLE_LINK1"/>
      <w:r>
        <w:t>i</w:t>
      </w:r>
      <w:r w:rsidR="0028346E">
        <w:t>mprove the effectiveness</w:t>
      </w:r>
      <w:r w:rsidR="003933F1" w:rsidRPr="004A27DD">
        <w:t xml:space="preserve"> of </w:t>
      </w:r>
      <w:r>
        <w:t>law enforcement by</w:t>
      </w:r>
      <w:r w:rsidR="003933F1" w:rsidRPr="004A27DD">
        <w:t xml:space="preserve"> promot</w:t>
      </w:r>
      <w:r>
        <w:t>ing</w:t>
      </w:r>
      <w:r w:rsidR="003933F1" w:rsidRPr="004A27DD">
        <w:t xml:space="preserve"> </w:t>
      </w:r>
      <w:r w:rsidR="0028346E">
        <w:t xml:space="preserve">professionalism, </w:t>
      </w:r>
      <w:r w:rsidR="003933F1" w:rsidRPr="004A27DD">
        <w:t>better sy</w:t>
      </w:r>
      <w:r w:rsidR="0028346E">
        <w:t>stem coordination,</w:t>
      </w:r>
      <w:r w:rsidR="003933F1" w:rsidRPr="004A27DD">
        <w:t xml:space="preserve"> and efficiency, and/or</w:t>
      </w:r>
      <w:r w:rsidR="0028346E">
        <w:t xml:space="preserve"> projects that</w:t>
      </w:r>
      <w:r w:rsidR="003933F1" w:rsidRPr="004A27DD">
        <w:t xml:space="preserve"> help agencies identify and respond to emerging criminal justice issues</w:t>
      </w:r>
      <w:r w:rsidR="002766B1">
        <w:t>, including heroin and opioid drug abuse</w:t>
      </w:r>
      <w:r w:rsidR="00CE610A">
        <w:t>; acquisition and use of naloxone in response to overdoses</w:t>
      </w:r>
      <w:r w:rsidR="003933F1">
        <w:t>;</w:t>
      </w:r>
      <w:r w:rsidR="00CE610A">
        <w:t xml:space="preserve"> acquisition and use of body worn cameras</w:t>
      </w:r>
      <w:r w:rsidR="003933F1">
        <w:t xml:space="preserve"> </w:t>
      </w:r>
    </w:p>
    <w:p w14:paraId="6B91035A" w14:textId="77777777" w:rsidR="001A0611" w:rsidRDefault="001A0611" w:rsidP="001A0611">
      <w:pPr>
        <w:ind w:left="1080"/>
      </w:pPr>
    </w:p>
    <w:p w14:paraId="353A82E4" w14:textId="77777777" w:rsidR="003933F1" w:rsidRDefault="002766B1" w:rsidP="003933F1">
      <w:pPr>
        <w:numPr>
          <w:ilvl w:val="0"/>
          <w:numId w:val="8"/>
        </w:numPr>
      </w:pPr>
      <w:r>
        <w:t>support</w:t>
      </w:r>
      <w:r w:rsidR="0028346E">
        <w:t xml:space="preserve"> efforts </w:t>
      </w:r>
      <w:r>
        <w:t>that</w:t>
      </w:r>
      <w:r w:rsidR="003933F1" w:rsidRPr="00720437">
        <w:t xml:space="preserve"> encourage community partnerships</w:t>
      </w:r>
      <w:r>
        <w:t>, trust</w:t>
      </w:r>
      <w:r w:rsidR="0028346E">
        <w:t xml:space="preserve"> and engagement </w:t>
      </w:r>
      <w:r w:rsidR="003933F1" w:rsidRPr="00720437">
        <w:t>and in</w:t>
      </w:r>
      <w:r w:rsidR="0028346E">
        <w:t>clude a thorough evaluation</w:t>
      </w:r>
      <w:r w:rsidR="00151C0C">
        <w:t>;</w:t>
      </w:r>
    </w:p>
    <w:bookmarkEnd w:id="1"/>
    <w:p w14:paraId="65C4B110" w14:textId="77777777" w:rsidR="003933F1" w:rsidRDefault="003933F1" w:rsidP="003933F1"/>
    <w:p w14:paraId="45C99EC9" w14:textId="77777777" w:rsidR="003933F1" w:rsidRDefault="00151C0C" w:rsidP="003933F1">
      <w:pPr>
        <w:rPr>
          <w:b/>
        </w:rPr>
      </w:pPr>
      <w:r>
        <w:rPr>
          <w:b/>
        </w:rPr>
        <w:t>Prosecution, Indigent Defense, Courts</w:t>
      </w:r>
    </w:p>
    <w:p w14:paraId="62DD550B" w14:textId="77777777" w:rsidR="003933F1" w:rsidRDefault="003933F1" w:rsidP="003933F1"/>
    <w:p w14:paraId="60146089" w14:textId="77777777" w:rsidR="003933F1" w:rsidRPr="00E15DEA" w:rsidRDefault="0028346E" w:rsidP="003933F1">
      <w:pPr>
        <w:autoSpaceDE w:val="0"/>
        <w:autoSpaceDN w:val="0"/>
        <w:adjustRightInd w:val="0"/>
        <w:ind w:right="-396"/>
      </w:pPr>
      <w:r>
        <w:t>Evidence-based p</w:t>
      </w:r>
      <w:r w:rsidR="00151C0C">
        <w:t>rojects that</w:t>
      </w:r>
      <w:r w:rsidR="003933F1" w:rsidRPr="00E15DEA">
        <w:t>:</w:t>
      </w:r>
    </w:p>
    <w:p w14:paraId="08C843EF" w14:textId="77777777" w:rsidR="003933F1" w:rsidRDefault="003933F1" w:rsidP="003933F1">
      <w:pPr>
        <w:ind w:left="1080"/>
      </w:pPr>
    </w:p>
    <w:p w14:paraId="05E2EB57" w14:textId="77777777" w:rsidR="003933F1" w:rsidRPr="0018238E" w:rsidRDefault="00151C0C" w:rsidP="003933F1">
      <w:pPr>
        <w:numPr>
          <w:ilvl w:val="0"/>
          <w:numId w:val="9"/>
        </w:numPr>
      </w:pPr>
      <w:r>
        <w:t>support s</w:t>
      </w:r>
      <w:r w:rsidR="003933F1" w:rsidRPr="0018238E">
        <w:t xml:space="preserve">tate-level and multidisciplinary training that enhances the quality and effectiveness of </w:t>
      </w:r>
      <w:r w:rsidR="00185D0A">
        <w:t xml:space="preserve">indigent defense, </w:t>
      </w:r>
      <w:r w:rsidR="003933F1" w:rsidRPr="0018238E">
        <w:t>prosecution or judicial handling of criminal cases in the Commonwealth;</w:t>
      </w:r>
    </w:p>
    <w:p w14:paraId="6D6B0EF7" w14:textId="77777777" w:rsidR="003933F1" w:rsidRDefault="003933F1" w:rsidP="003933F1">
      <w:pPr>
        <w:ind w:left="720"/>
        <w:rPr>
          <w:color w:val="000000"/>
        </w:rPr>
      </w:pPr>
    </w:p>
    <w:p w14:paraId="3F2A19EF" w14:textId="77777777" w:rsidR="003933F1" w:rsidRPr="00D67D6F" w:rsidRDefault="003933F1" w:rsidP="003933F1">
      <w:pPr>
        <w:numPr>
          <w:ilvl w:val="0"/>
          <w:numId w:val="9"/>
        </w:numPr>
      </w:pPr>
      <w:r w:rsidRPr="00D67D6F">
        <w:t>develop, improve or enhance the use of technology in local</w:t>
      </w:r>
      <w:r>
        <w:t xml:space="preserve"> </w:t>
      </w:r>
      <w:r w:rsidRPr="00D67D6F">
        <w:t>prosecutors</w:t>
      </w:r>
      <w:r w:rsidR="00185D0A">
        <w:t>,</w:t>
      </w:r>
      <w:r w:rsidRPr="00D67D6F">
        <w:t>’</w:t>
      </w:r>
      <w:r w:rsidR="00185D0A">
        <w:t xml:space="preserve"> public defenders’</w:t>
      </w:r>
      <w:r w:rsidRPr="00D67D6F">
        <w:t xml:space="preserve"> offices or the courts</w:t>
      </w:r>
      <w:r>
        <w:t xml:space="preserve"> (court projects must tie into plans and </w:t>
      </w:r>
      <w:r w:rsidR="009B1DFC">
        <w:t xml:space="preserve">meet </w:t>
      </w:r>
      <w:r>
        <w:t>requirements that may be set by the Supreme Court of Virginia)</w:t>
      </w:r>
      <w:r w:rsidRPr="00D67D6F">
        <w:t>.</w:t>
      </w:r>
    </w:p>
    <w:p w14:paraId="4D31B792" w14:textId="77777777" w:rsidR="003933F1" w:rsidRPr="00A17D86" w:rsidRDefault="003933F1" w:rsidP="003933F1">
      <w:pPr>
        <w:rPr>
          <w:b/>
        </w:rPr>
      </w:pPr>
    </w:p>
    <w:p w14:paraId="075C3C67" w14:textId="77777777" w:rsidR="003933F1" w:rsidRDefault="00151C0C" w:rsidP="003933F1">
      <w:pPr>
        <w:rPr>
          <w:b/>
        </w:rPr>
      </w:pPr>
      <w:r>
        <w:rPr>
          <w:b/>
        </w:rPr>
        <w:t>Prevention and Education</w:t>
      </w:r>
    </w:p>
    <w:p w14:paraId="7885DF28" w14:textId="77777777" w:rsidR="003933F1" w:rsidRDefault="003933F1" w:rsidP="003933F1"/>
    <w:p w14:paraId="42CEF406" w14:textId="77777777" w:rsidR="003933F1" w:rsidRDefault="0028346E" w:rsidP="003933F1">
      <w:r>
        <w:t>Evidence-based p</w:t>
      </w:r>
      <w:r w:rsidR="003933F1">
        <w:t>rojects that:</w:t>
      </w:r>
    </w:p>
    <w:p w14:paraId="187452A3" w14:textId="77777777" w:rsidR="003933F1" w:rsidRDefault="003933F1" w:rsidP="003933F1"/>
    <w:p w14:paraId="4193037E" w14:textId="77777777" w:rsidR="003933F1" w:rsidRDefault="00E63654" w:rsidP="003933F1">
      <w:pPr>
        <w:numPr>
          <w:ilvl w:val="0"/>
          <w:numId w:val="10"/>
        </w:numPr>
      </w:pPr>
      <w:r>
        <w:t>a</w:t>
      </w:r>
      <w:r w:rsidR="003933F1">
        <w:t xml:space="preserve">ddress juvenile </w:t>
      </w:r>
      <w:r w:rsidR="003933F1" w:rsidRPr="0048312B">
        <w:t>d</w:t>
      </w:r>
      <w:r>
        <w:t>elinquency and crime prevention</w:t>
      </w:r>
      <w:r w:rsidR="003933F1" w:rsidRPr="0048312B">
        <w:t xml:space="preserve">; </w:t>
      </w:r>
    </w:p>
    <w:p w14:paraId="3FF9CF2B" w14:textId="77777777" w:rsidR="003933F1" w:rsidRDefault="00E63654" w:rsidP="003933F1">
      <w:pPr>
        <w:numPr>
          <w:ilvl w:val="0"/>
          <w:numId w:val="10"/>
        </w:numPr>
      </w:pPr>
      <w:r>
        <w:t>p</w:t>
      </w:r>
      <w:r w:rsidR="003933F1">
        <w:t xml:space="preserve">rovide youth-focused, </w:t>
      </w:r>
      <w:r w:rsidR="003933F1" w:rsidRPr="0048312B">
        <w:t xml:space="preserve">gang-related prevention and education programs, services and </w:t>
      </w:r>
      <w:r w:rsidR="003933F1">
        <w:t>p</w:t>
      </w:r>
      <w:r w:rsidR="003933F1" w:rsidRPr="0048312B">
        <w:t xml:space="preserve">ractices; </w:t>
      </w:r>
    </w:p>
    <w:p w14:paraId="6D8D68A7" w14:textId="77777777" w:rsidR="003933F1" w:rsidRDefault="00E63654" w:rsidP="003933F1">
      <w:pPr>
        <w:numPr>
          <w:ilvl w:val="0"/>
          <w:numId w:val="10"/>
        </w:numPr>
      </w:pPr>
      <w:r>
        <w:t>d</w:t>
      </w:r>
      <w:r w:rsidR="003933F1" w:rsidRPr="00C43AB3">
        <w:t xml:space="preserve">evelop and implement measures to prevent crime and enhance safety and security in schools and on college and university campuses, and in </w:t>
      </w:r>
      <w:r w:rsidR="003933F1">
        <w:t>school-related activities</w:t>
      </w:r>
      <w:r w:rsidR="003933F1" w:rsidRPr="00C43AB3">
        <w:t>;</w:t>
      </w:r>
    </w:p>
    <w:p w14:paraId="64F4CC2C" w14:textId="77777777" w:rsidR="003933F1" w:rsidRDefault="00E63654" w:rsidP="003933F1">
      <w:pPr>
        <w:numPr>
          <w:ilvl w:val="0"/>
          <w:numId w:val="10"/>
        </w:numPr>
      </w:pPr>
      <w:r>
        <w:t>s</w:t>
      </w:r>
      <w:r w:rsidR="0028346E">
        <w:t>upport</w:t>
      </w:r>
      <w:r w:rsidR="003933F1" w:rsidRPr="00027BD5">
        <w:t xml:space="preserve"> best practice </w:t>
      </w:r>
      <w:r w:rsidR="003933F1">
        <w:t xml:space="preserve">drug </w:t>
      </w:r>
      <w:r w:rsidR="003933F1" w:rsidRPr="00027BD5">
        <w:t>prev</w:t>
      </w:r>
      <w:r>
        <w:t>ention programs and activities;</w:t>
      </w:r>
    </w:p>
    <w:p w14:paraId="1E49976B" w14:textId="77777777" w:rsidR="003933F1" w:rsidRDefault="00E63654" w:rsidP="003933F1">
      <w:pPr>
        <w:numPr>
          <w:ilvl w:val="0"/>
          <w:numId w:val="10"/>
        </w:numPr>
      </w:pPr>
      <w:r>
        <w:t>p</w:t>
      </w:r>
      <w:r w:rsidR="003933F1" w:rsidRPr="0048312B">
        <w:t xml:space="preserve">revent </w:t>
      </w:r>
      <w:r w:rsidR="003933F1">
        <w:t xml:space="preserve">juvenile </w:t>
      </w:r>
      <w:r w:rsidR="0028346E">
        <w:t>crime through</w:t>
      </w:r>
      <w:r w:rsidR="003933F1" w:rsidRPr="0048312B">
        <w:t xml:space="preserve"> coordination </w:t>
      </w:r>
      <w:r w:rsidR="0028346E">
        <w:t>of and collaboration with</w:t>
      </w:r>
      <w:r w:rsidR="003933F1" w:rsidRPr="0048312B">
        <w:t xml:space="preserve"> community </w:t>
      </w:r>
      <w:r w:rsidR="003933F1">
        <w:t>s</w:t>
      </w:r>
      <w:r w:rsidR="003933F1" w:rsidRPr="0048312B">
        <w:t>takeholders.</w:t>
      </w:r>
    </w:p>
    <w:p w14:paraId="084298C6" w14:textId="77777777" w:rsidR="003933F1" w:rsidRDefault="003933F1" w:rsidP="003933F1"/>
    <w:p w14:paraId="7DEBA08B" w14:textId="77777777" w:rsidR="00E63654" w:rsidRDefault="00E63654" w:rsidP="003933F1">
      <w:pPr>
        <w:rPr>
          <w:b/>
        </w:rPr>
      </w:pPr>
      <w:r>
        <w:rPr>
          <w:b/>
        </w:rPr>
        <w:t>Corrections and Community-Based Programs for Adults and Juveniles</w:t>
      </w:r>
    </w:p>
    <w:p w14:paraId="537AF2AD" w14:textId="77777777" w:rsidR="003933F1" w:rsidRDefault="003933F1" w:rsidP="003933F1">
      <w:pPr>
        <w:rPr>
          <w:b/>
        </w:rPr>
      </w:pPr>
    </w:p>
    <w:p w14:paraId="2EBCAC31" w14:textId="77777777" w:rsidR="003933F1" w:rsidRDefault="000D0874" w:rsidP="003933F1">
      <w:r>
        <w:t>Evidence-based p</w:t>
      </w:r>
      <w:r w:rsidR="003933F1" w:rsidRPr="0073083D">
        <w:t>rojects that</w:t>
      </w:r>
      <w:r w:rsidR="003933F1">
        <w:t xml:space="preserve">: </w:t>
      </w:r>
    </w:p>
    <w:p w14:paraId="1726A95F" w14:textId="77777777" w:rsidR="003933F1" w:rsidRDefault="003933F1" w:rsidP="003933F1"/>
    <w:p w14:paraId="413C659F" w14:textId="77777777" w:rsidR="003933F1" w:rsidRDefault="005F41A7" w:rsidP="003933F1">
      <w:pPr>
        <w:numPr>
          <w:ilvl w:val="0"/>
          <w:numId w:val="11"/>
        </w:numPr>
        <w:tabs>
          <w:tab w:val="clear" w:pos="1440"/>
          <w:tab w:val="num" w:pos="1080"/>
        </w:tabs>
        <w:ind w:left="1080"/>
      </w:pPr>
      <w:r>
        <w:t>reduce reliance on expensive and less effective facility-based sanctions by d</w:t>
      </w:r>
      <w:r w:rsidRPr="0073083D">
        <w:t>ivert</w:t>
      </w:r>
      <w:r>
        <w:t>ing</w:t>
      </w:r>
      <w:r w:rsidRPr="0073083D">
        <w:t xml:space="preserve"> non-violent offenders from secure facilities</w:t>
      </w:r>
      <w:r>
        <w:t>;</w:t>
      </w:r>
    </w:p>
    <w:p w14:paraId="451362DF" w14:textId="77777777" w:rsidR="003933F1" w:rsidRDefault="005F41A7" w:rsidP="003933F1">
      <w:pPr>
        <w:numPr>
          <w:ilvl w:val="0"/>
          <w:numId w:val="11"/>
        </w:numPr>
        <w:tabs>
          <w:tab w:val="clear" w:pos="1440"/>
          <w:tab w:val="num" w:pos="1080"/>
        </w:tabs>
        <w:ind w:left="1080"/>
      </w:pPr>
      <w:r>
        <w:t>i</w:t>
      </w:r>
      <w:r w:rsidR="003933F1" w:rsidRPr="0073083D">
        <w:t>mplement or improve re-entry and aftercare efforts</w:t>
      </w:r>
      <w:r w:rsidR="003933F1">
        <w:t>;</w:t>
      </w:r>
    </w:p>
    <w:p w14:paraId="13C4E440" w14:textId="77777777" w:rsidR="003933F1" w:rsidRDefault="005F41A7" w:rsidP="003933F1">
      <w:pPr>
        <w:numPr>
          <w:ilvl w:val="0"/>
          <w:numId w:val="11"/>
        </w:numPr>
        <w:tabs>
          <w:tab w:val="clear" w:pos="1440"/>
          <w:tab w:val="num" w:pos="1080"/>
        </w:tabs>
        <w:ind w:left="1080"/>
      </w:pPr>
      <w:r>
        <w:t>p</w:t>
      </w:r>
      <w:r w:rsidR="003933F1" w:rsidRPr="0073083D">
        <w:t xml:space="preserve">rovide for pretrial and pre-adjudicatory services for </w:t>
      </w:r>
      <w:r w:rsidR="003933F1">
        <w:t>defendants; or</w:t>
      </w:r>
    </w:p>
    <w:p w14:paraId="0375198F" w14:textId="77777777" w:rsidR="003933F1" w:rsidRPr="0073083D" w:rsidRDefault="005F41A7" w:rsidP="003933F1">
      <w:pPr>
        <w:numPr>
          <w:ilvl w:val="0"/>
          <w:numId w:val="11"/>
        </w:numPr>
        <w:tabs>
          <w:tab w:val="clear" w:pos="1440"/>
          <w:tab w:val="num" w:pos="1080"/>
        </w:tabs>
        <w:ind w:left="1080"/>
      </w:pPr>
      <w:r>
        <w:t>i</w:t>
      </w:r>
      <w:r w:rsidR="003933F1" w:rsidRPr="0073083D">
        <w:t>ntervene with defendants and offenders involved with the justice system as a result of serious mental illness or chronic substance abuse.</w:t>
      </w:r>
    </w:p>
    <w:p w14:paraId="3E62402B" w14:textId="77777777" w:rsidR="003933F1" w:rsidRPr="0073083D" w:rsidRDefault="003933F1" w:rsidP="003933F1"/>
    <w:p w14:paraId="5A447475" w14:textId="77777777" w:rsidR="003933F1" w:rsidRPr="00D838FA" w:rsidRDefault="003933F1" w:rsidP="003933F1"/>
    <w:p w14:paraId="0F34873F" w14:textId="77777777" w:rsidR="003933F1" w:rsidRDefault="00F21BFF" w:rsidP="003933F1">
      <w:pPr>
        <w:rPr>
          <w:b/>
        </w:rPr>
      </w:pPr>
      <w:r>
        <w:rPr>
          <w:b/>
        </w:rPr>
        <w:t>Substance Abuse Treatment</w:t>
      </w:r>
    </w:p>
    <w:p w14:paraId="6D352E16" w14:textId="77777777" w:rsidR="003933F1" w:rsidRDefault="003933F1" w:rsidP="003933F1">
      <w:pPr>
        <w:jc w:val="center"/>
      </w:pPr>
    </w:p>
    <w:p w14:paraId="2C35F6A8" w14:textId="77777777" w:rsidR="003933F1" w:rsidRDefault="000D0874" w:rsidP="003933F1">
      <w:r>
        <w:t>Evidence-based p</w:t>
      </w:r>
      <w:r w:rsidR="003933F1">
        <w:t xml:space="preserve">rojects that: </w:t>
      </w:r>
    </w:p>
    <w:p w14:paraId="2D445DD4" w14:textId="77777777" w:rsidR="003933F1" w:rsidRDefault="003933F1" w:rsidP="003933F1"/>
    <w:p w14:paraId="32D05CD7" w14:textId="77777777" w:rsidR="003933F1" w:rsidRPr="00027BD5" w:rsidRDefault="00E150C0" w:rsidP="003933F1">
      <w:pPr>
        <w:numPr>
          <w:ilvl w:val="0"/>
          <w:numId w:val="12"/>
        </w:numPr>
        <w:tabs>
          <w:tab w:val="clear" w:pos="1440"/>
          <w:tab w:val="num" w:pos="1080"/>
        </w:tabs>
        <w:ind w:left="1080"/>
      </w:pPr>
      <w:r>
        <w:t>p</w:t>
      </w:r>
      <w:r w:rsidR="003933F1">
        <w:t xml:space="preserve">rovide community-based treatment that </w:t>
      </w:r>
      <w:r w:rsidR="003933F1" w:rsidRPr="00027BD5">
        <w:t>target</w:t>
      </w:r>
      <w:r w:rsidR="003933F1">
        <w:t>s</w:t>
      </w:r>
      <w:r w:rsidR="003933F1" w:rsidRPr="00027BD5">
        <w:t xml:space="preserve"> populations which are jail-bound, have co-occurring disorders, are misdemeanants, and/or are frequently in and out of the criminal justice system;</w:t>
      </w:r>
      <w:r w:rsidR="003933F1">
        <w:t xml:space="preserve"> </w:t>
      </w:r>
    </w:p>
    <w:p w14:paraId="7E86813D" w14:textId="77777777" w:rsidR="00920F87" w:rsidRDefault="00920F87" w:rsidP="00920F87">
      <w:pPr>
        <w:autoSpaceDE w:val="0"/>
        <w:autoSpaceDN w:val="0"/>
        <w:adjustRightInd w:val="0"/>
      </w:pPr>
    </w:p>
    <w:p w14:paraId="589FF4F5" w14:textId="77777777" w:rsidR="00CE610A" w:rsidRDefault="00CE610A" w:rsidP="00920F87">
      <w:pPr>
        <w:autoSpaceDE w:val="0"/>
        <w:autoSpaceDN w:val="0"/>
        <w:adjustRightInd w:val="0"/>
      </w:pPr>
    </w:p>
    <w:p w14:paraId="0B8541BC" w14:textId="12377DE6" w:rsidR="00CE610A" w:rsidRPr="00CE610A" w:rsidRDefault="00CE610A" w:rsidP="00920F87">
      <w:pPr>
        <w:autoSpaceDE w:val="0"/>
        <w:autoSpaceDN w:val="0"/>
        <w:adjustRightInd w:val="0"/>
        <w:rPr>
          <w:i/>
        </w:rPr>
      </w:pPr>
      <w:r w:rsidRPr="00CE610A">
        <w:rPr>
          <w:b/>
          <w:i/>
        </w:rPr>
        <w:t>Application Process</w:t>
      </w:r>
    </w:p>
    <w:p w14:paraId="75E5A7A9" w14:textId="77777777" w:rsidR="00CE610A" w:rsidRPr="00CE610A" w:rsidRDefault="00CE610A" w:rsidP="00920F87">
      <w:pPr>
        <w:autoSpaceDE w:val="0"/>
        <w:autoSpaceDN w:val="0"/>
        <w:adjustRightInd w:val="0"/>
      </w:pPr>
    </w:p>
    <w:p w14:paraId="0918F8E6" w14:textId="77777777" w:rsidR="0054612F" w:rsidRDefault="00920F87" w:rsidP="00632BCF">
      <w:pPr>
        <w:autoSpaceDE w:val="0"/>
        <w:autoSpaceDN w:val="0"/>
        <w:adjustRightInd w:val="0"/>
      </w:pPr>
      <w:r>
        <w:tab/>
        <w:t xml:space="preserve">DCJS </w:t>
      </w:r>
      <w:r w:rsidR="008B1589">
        <w:t>will</w:t>
      </w:r>
      <w:r w:rsidR="00377144">
        <w:t xml:space="preserve"> use</w:t>
      </w:r>
      <w:r w:rsidR="008B1589">
        <w:t xml:space="preserve"> a</w:t>
      </w:r>
      <w:r w:rsidR="00A7333F">
        <w:t xml:space="preserve"> two-step</w:t>
      </w:r>
      <w:r>
        <w:t xml:space="preserve"> process</w:t>
      </w:r>
      <w:r w:rsidR="00BB019C">
        <w:t xml:space="preserve"> </w:t>
      </w:r>
      <w:r w:rsidR="008B1589">
        <w:t>for</w:t>
      </w:r>
      <w:r w:rsidR="00964219">
        <w:t xml:space="preserve"> </w:t>
      </w:r>
      <w:r w:rsidR="00AD7864">
        <w:t>new projects</w:t>
      </w:r>
      <w:r w:rsidR="00526347">
        <w:t>.</w:t>
      </w:r>
      <w:r w:rsidR="008B1589">
        <w:t xml:space="preserve"> </w:t>
      </w:r>
      <w:r w:rsidR="00526347">
        <w:t>Applicants will</w:t>
      </w:r>
      <w:r w:rsidR="008B1589">
        <w:t xml:space="preserve"> </w:t>
      </w:r>
      <w:r w:rsidR="00A7333F">
        <w:t xml:space="preserve">first </w:t>
      </w:r>
      <w:r w:rsidR="00DE5489">
        <w:t>submi</w:t>
      </w:r>
      <w:r w:rsidR="00964219">
        <w:t>t</w:t>
      </w:r>
      <w:r w:rsidR="00DE5489">
        <w:t xml:space="preserve"> </w:t>
      </w:r>
      <w:r w:rsidR="00A7333F">
        <w:t xml:space="preserve">concept papers that respond to criteria set out in DCJS guidelines.  DCJS staff will review the concept papers and those which best respond to the guidelines will be invited to submit full </w:t>
      </w:r>
      <w:r w:rsidR="00DE5489">
        <w:t>grant appli</w:t>
      </w:r>
      <w:r w:rsidR="008B1589">
        <w:t>cations</w:t>
      </w:r>
      <w:r w:rsidR="00DE5489">
        <w:t xml:space="preserve"> with thorough explanations of the pr</w:t>
      </w:r>
      <w:r w:rsidR="00964219">
        <w:t>oblem or need to be addressed</w:t>
      </w:r>
      <w:r w:rsidR="0054612F">
        <w:t xml:space="preserve"> based on up-to-date available data</w:t>
      </w:r>
      <w:r w:rsidR="00964219">
        <w:t>,</w:t>
      </w:r>
      <w:r w:rsidR="008B1589">
        <w:t xml:space="preserve"> detailed</w:t>
      </w:r>
      <w:r w:rsidR="00DE5489">
        <w:t xml:space="preserve"> description</w:t>
      </w:r>
      <w:r w:rsidR="00964219">
        <w:t>s</w:t>
      </w:r>
      <w:r w:rsidR="008B1589">
        <w:t xml:space="preserve"> of their proposed projects</w:t>
      </w:r>
      <w:r w:rsidR="0054612F">
        <w:t xml:space="preserve"> including</w:t>
      </w:r>
      <w:r w:rsidR="00DE5489">
        <w:t xml:space="preserve"> timeline</w:t>
      </w:r>
      <w:r w:rsidR="0054612F">
        <w:t>s</w:t>
      </w:r>
      <w:r w:rsidR="00DE5489">
        <w:t xml:space="preserve"> and measurable objectives, an</w:t>
      </w:r>
      <w:r w:rsidR="00964219">
        <w:t>d</w:t>
      </w:r>
      <w:r w:rsidR="00632BCF">
        <w:t xml:space="preserve"> itemized budget</w:t>
      </w:r>
      <w:r w:rsidR="00964219">
        <w:t xml:space="preserve">s.  </w:t>
      </w:r>
      <w:r w:rsidR="00554063">
        <w:t>All a</w:t>
      </w:r>
      <w:r w:rsidR="008B1589">
        <w:t>pplic</w:t>
      </w:r>
      <w:r w:rsidR="00A7333F">
        <w:t>ants will be required</w:t>
      </w:r>
      <w:r w:rsidR="00430CE3">
        <w:t xml:space="preserve"> to base their proposals </w:t>
      </w:r>
      <w:r w:rsidR="00554063">
        <w:t>on proven program models.</w:t>
      </w:r>
      <w:r w:rsidR="008B1589">
        <w:t xml:space="preserve"> </w:t>
      </w:r>
      <w:r w:rsidR="00554063">
        <w:t>T</w:t>
      </w:r>
      <w:r w:rsidR="0054612F">
        <w:t xml:space="preserve">he grant </w:t>
      </w:r>
      <w:r w:rsidR="0054612F">
        <w:lastRenderedPageBreak/>
        <w:t>guidelines we issue will refer them to evalua</w:t>
      </w:r>
      <w:r w:rsidR="00C26EDD">
        <w:t xml:space="preserve">tion and </w:t>
      </w:r>
      <w:r w:rsidR="00554063">
        <w:t>evidence-based</w:t>
      </w:r>
      <w:r w:rsidR="0054612F">
        <w:t xml:space="preserve"> practices information available from BJA, OJP and other sources. </w:t>
      </w:r>
    </w:p>
    <w:p w14:paraId="1E114D39" w14:textId="77777777" w:rsidR="0054612F" w:rsidRDefault="0054612F" w:rsidP="00632BCF">
      <w:pPr>
        <w:autoSpaceDE w:val="0"/>
        <w:autoSpaceDN w:val="0"/>
        <w:adjustRightInd w:val="0"/>
      </w:pPr>
    </w:p>
    <w:p w14:paraId="18CC49FE" w14:textId="0D04CE86" w:rsidR="00AD7864" w:rsidRDefault="00DE5489" w:rsidP="0054612F">
      <w:pPr>
        <w:autoSpaceDE w:val="0"/>
        <w:autoSpaceDN w:val="0"/>
        <w:adjustRightInd w:val="0"/>
        <w:ind w:firstLine="720"/>
      </w:pPr>
      <w:r>
        <w:t xml:space="preserve">DCJS staff </w:t>
      </w:r>
      <w:r w:rsidR="00CA2EA5">
        <w:t xml:space="preserve">will review the applications with </w:t>
      </w:r>
      <w:r w:rsidR="00CE610A">
        <w:t xml:space="preserve">a </w:t>
      </w:r>
      <w:r w:rsidR="00A7333F">
        <w:t>committee</w:t>
      </w:r>
      <w:r w:rsidR="00CE610A">
        <w:t xml:space="preserve"> of the Department’s policy</w:t>
      </w:r>
      <w:r>
        <w:t xml:space="preserve"> board, the Criminal Justice Services Board</w:t>
      </w:r>
      <w:r w:rsidR="00964219">
        <w:t xml:space="preserve">, and the </w:t>
      </w:r>
      <w:r w:rsidR="008D0CE8">
        <w:t>committee</w:t>
      </w:r>
      <w:r w:rsidR="00A7333F">
        <w:t>’s</w:t>
      </w:r>
      <w:r w:rsidR="008D0CE8">
        <w:t xml:space="preserve"> recomme</w:t>
      </w:r>
      <w:r w:rsidR="00632BCF">
        <w:t>ndations on the</w:t>
      </w:r>
      <w:r w:rsidR="00964219">
        <w:t>m</w:t>
      </w:r>
      <w:r w:rsidR="00632BCF">
        <w:t xml:space="preserve"> will</w:t>
      </w:r>
      <w:r w:rsidR="008D0CE8">
        <w:t xml:space="preserve"> then</w:t>
      </w:r>
      <w:r w:rsidR="00632BCF">
        <w:t xml:space="preserve"> be</w:t>
      </w:r>
      <w:r w:rsidR="008D0CE8">
        <w:t xml:space="preserve"> presented to the full Board for final action</w:t>
      </w:r>
    </w:p>
    <w:p w14:paraId="703F5748" w14:textId="77777777" w:rsidR="00490C4E" w:rsidRDefault="00490C4E" w:rsidP="00920F87">
      <w:pPr>
        <w:autoSpaceDE w:val="0"/>
        <w:autoSpaceDN w:val="0"/>
        <w:adjustRightInd w:val="0"/>
      </w:pPr>
    </w:p>
    <w:p w14:paraId="49046655" w14:textId="77777777" w:rsidR="00B933CA" w:rsidRDefault="00DE5489" w:rsidP="008D0CE8">
      <w:pPr>
        <w:autoSpaceDE w:val="0"/>
        <w:autoSpaceDN w:val="0"/>
        <w:adjustRightInd w:val="0"/>
      </w:pPr>
      <w:r>
        <w:tab/>
      </w:r>
      <w:r w:rsidR="00377144">
        <w:t>As is the case with any JAG grants awarded by DCJS, s</w:t>
      </w:r>
      <w:r w:rsidR="008D0CE8">
        <w:t xml:space="preserve">uccessful applicants </w:t>
      </w:r>
      <w:r w:rsidR="00377144">
        <w:t>will</w:t>
      </w:r>
      <w:r w:rsidR="00490C4E">
        <w:t xml:space="preserve"> </w:t>
      </w:r>
      <w:r w:rsidR="008D0CE8">
        <w:t>receive formal notification via statements of grant award which they are required to sign and return, indicating their acceptance of the award and any conditions.</w:t>
      </w:r>
    </w:p>
    <w:p w14:paraId="48D6AA6A" w14:textId="77777777" w:rsidR="00377144" w:rsidRDefault="00377144" w:rsidP="008D0CE8">
      <w:pPr>
        <w:autoSpaceDE w:val="0"/>
        <w:autoSpaceDN w:val="0"/>
        <w:adjustRightInd w:val="0"/>
      </w:pPr>
    </w:p>
    <w:p w14:paraId="6E546EAF" w14:textId="77777777" w:rsidR="00377144" w:rsidRDefault="00377144" w:rsidP="008D0CE8">
      <w:pPr>
        <w:autoSpaceDE w:val="0"/>
        <w:autoSpaceDN w:val="0"/>
        <w:adjustRightInd w:val="0"/>
      </w:pPr>
      <w:r>
        <w:tab/>
        <w:t>This year’s process</w:t>
      </w:r>
      <w:r w:rsidR="001C2D65">
        <w:t xml:space="preserve"> will be initiate</w:t>
      </w:r>
      <w:r w:rsidR="000D0874">
        <w:t>d early in 2017</w:t>
      </w:r>
      <w:r w:rsidR="001C2D65">
        <w:t xml:space="preserve"> when we is</w:t>
      </w:r>
      <w:r w:rsidR="00516EC0">
        <w:t>sue program</w:t>
      </w:r>
      <w:r w:rsidR="00DC094D">
        <w:t xml:space="preserve"> guid</w:t>
      </w:r>
      <w:r w:rsidR="00516EC0">
        <w:t>ance</w:t>
      </w:r>
      <w:r w:rsidR="00A7333F">
        <w:t xml:space="preserve"> and solicit concept papers</w:t>
      </w:r>
      <w:r w:rsidR="00DC094D">
        <w:t>.  S</w:t>
      </w:r>
      <w:r w:rsidR="00632BCF">
        <w:t>uccessful applicants</w:t>
      </w:r>
      <w:r w:rsidR="00DC094D">
        <w:t xml:space="preserve"> will </w:t>
      </w:r>
      <w:r w:rsidR="00632BCF">
        <w:t>receiv</w:t>
      </w:r>
      <w:r w:rsidR="00DC094D">
        <w:t>e</w:t>
      </w:r>
      <w:r w:rsidR="00632BCF">
        <w:t xml:space="preserve"> 12 month grant</w:t>
      </w:r>
      <w:r w:rsidR="000D0874">
        <w:t>s for the period July 1, 2017</w:t>
      </w:r>
      <w:r w:rsidR="001C2D65">
        <w:t xml:space="preserve"> t</w:t>
      </w:r>
      <w:r w:rsidR="00554063">
        <w:t xml:space="preserve">hrough </w:t>
      </w:r>
      <w:r w:rsidR="000D0874">
        <w:t>June 30, 2018</w:t>
      </w:r>
      <w:r w:rsidR="00632BCF">
        <w:t>.</w:t>
      </w:r>
      <w:r w:rsidR="00954339">
        <w:t xml:space="preserve">  Based on project performance and availability of funds, approved projects may be eligible for up to a total of four years’ of funding.  Applicants requesting continuation funding after the first year will be required to submit scaled back applications updating their projects’ objectives and summarizing accomplishments to-date.</w:t>
      </w:r>
    </w:p>
    <w:p w14:paraId="38272909" w14:textId="77777777" w:rsidR="00FD5322" w:rsidRPr="00F94725" w:rsidRDefault="00102EED" w:rsidP="00920F87">
      <w:pPr>
        <w:autoSpaceDE w:val="0"/>
        <w:autoSpaceDN w:val="0"/>
        <w:adjustRightInd w:val="0"/>
      </w:pPr>
      <w:r>
        <w:tab/>
      </w:r>
      <w:r w:rsidR="00377144">
        <w:tab/>
      </w:r>
    </w:p>
    <w:p w14:paraId="515E02AE" w14:textId="77777777" w:rsidR="00E9568D" w:rsidRDefault="00E9568D" w:rsidP="00E9568D">
      <w:r>
        <w:rPr>
          <w:i/>
        </w:rPr>
        <w:t xml:space="preserve"> </w:t>
      </w:r>
      <w:r>
        <w:rPr>
          <w:b/>
          <w:i/>
        </w:rPr>
        <w:t>Project Design and Implementation</w:t>
      </w:r>
    </w:p>
    <w:p w14:paraId="1E99A0D5" w14:textId="77777777" w:rsidR="00E9568D" w:rsidRPr="00E9568D" w:rsidRDefault="00E9568D" w:rsidP="00E9568D"/>
    <w:p w14:paraId="06BBDA22" w14:textId="77777777" w:rsidR="00E9568D" w:rsidRDefault="00E9568D" w:rsidP="00E9568D">
      <w:pPr>
        <w:ind w:firstLine="720"/>
      </w:pPr>
      <w:r>
        <w:t>The Department’s 2010 plan,</w:t>
      </w:r>
      <w:r w:rsidRPr="00A15E82">
        <w:rPr>
          <w:b/>
        </w:rPr>
        <w:t xml:space="preserve"> </w:t>
      </w:r>
      <w:r w:rsidRPr="00A43E0E">
        <w:rPr>
          <w:b/>
        </w:rPr>
        <w:t>“Setting A Course for the Future of The Crim</w:t>
      </w:r>
      <w:r>
        <w:rPr>
          <w:b/>
        </w:rPr>
        <w:t>inal Justice System in Virginia: Virginia’s Statewide Criminal Justice Plan</w:t>
      </w:r>
      <w:r w:rsidRPr="00A43E0E">
        <w:rPr>
          <w:b/>
        </w:rPr>
        <w:t>,”</w:t>
      </w:r>
      <w:r>
        <w:t xml:space="preserve"> (PDF copy attached) created a framework for decision-making and established a foundation for future planning and analysis.  </w:t>
      </w:r>
    </w:p>
    <w:p w14:paraId="6FABFA27" w14:textId="77777777" w:rsidR="00E27B54" w:rsidRDefault="00E27B54" w:rsidP="00E9568D">
      <w:pPr>
        <w:ind w:firstLine="720"/>
      </w:pPr>
    </w:p>
    <w:p w14:paraId="33A8A607" w14:textId="2062B692" w:rsidR="00E27B54" w:rsidRDefault="00E46F25" w:rsidP="00E9568D">
      <w:pPr>
        <w:ind w:firstLine="720"/>
      </w:pPr>
      <w:r>
        <w:t>That planning process identified 21 priority areas that span the entire cr</w:t>
      </w:r>
      <w:r w:rsidR="00E10513">
        <w:t xml:space="preserve">iminal justice system, many of </w:t>
      </w:r>
      <w:r>
        <w:t>which continue to be high priority issues today:</w:t>
      </w:r>
    </w:p>
    <w:p w14:paraId="20B6ED57" w14:textId="77777777" w:rsidR="00E46F25" w:rsidRPr="009A19B5" w:rsidRDefault="00E46F25" w:rsidP="00E46F25">
      <w:pPr>
        <w:numPr>
          <w:ilvl w:val="0"/>
          <w:numId w:val="7"/>
        </w:numPr>
        <w:autoSpaceDE w:val="0"/>
        <w:autoSpaceDN w:val="0"/>
        <w:adjustRightInd w:val="0"/>
        <w:rPr>
          <w:bCs/>
          <w:i/>
          <w:iCs/>
        </w:rPr>
      </w:pPr>
      <w:r w:rsidRPr="009A19B5">
        <w:rPr>
          <w:bCs/>
          <w:i/>
          <w:iCs/>
        </w:rPr>
        <w:t xml:space="preserve">Collaboration and coordination in the criminal </w:t>
      </w:r>
      <w:r>
        <w:rPr>
          <w:bCs/>
          <w:i/>
          <w:iCs/>
        </w:rPr>
        <w:t>j</w:t>
      </w:r>
      <w:r w:rsidRPr="009A19B5">
        <w:rPr>
          <w:bCs/>
          <w:i/>
          <w:iCs/>
        </w:rPr>
        <w:t>ustice system</w:t>
      </w:r>
    </w:p>
    <w:p w14:paraId="24BBE5AB" w14:textId="77777777" w:rsidR="00E46F25" w:rsidRPr="009A19B5" w:rsidRDefault="00E46F25" w:rsidP="00E46F25">
      <w:pPr>
        <w:numPr>
          <w:ilvl w:val="0"/>
          <w:numId w:val="7"/>
        </w:numPr>
        <w:autoSpaceDE w:val="0"/>
        <w:autoSpaceDN w:val="0"/>
        <w:adjustRightInd w:val="0"/>
        <w:rPr>
          <w:bCs/>
          <w:i/>
          <w:iCs/>
        </w:rPr>
      </w:pPr>
      <w:r w:rsidRPr="009A19B5">
        <w:rPr>
          <w:bCs/>
          <w:i/>
          <w:iCs/>
        </w:rPr>
        <w:t>Information sharing in the criminal justice system</w:t>
      </w:r>
    </w:p>
    <w:p w14:paraId="57669A66" w14:textId="77777777" w:rsidR="00E46F25" w:rsidRPr="009A19B5" w:rsidRDefault="00E46F25" w:rsidP="00E46F25">
      <w:pPr>
        <w:numPr>
          <w:ilvl w:val="0"/>
          <w:numId w:val="7"/>
        </w:numPr>
        <w:autoSpaceDE w:val="0"/>
        <w:autoSpaceDN w:val="0"/>
        <w:adjustRightInd w:val="0"/>
        <w:rPr>
          <w:bCs/>
          <w:i/>
          <w:iCs/>
        </w:rPr>
      </w:pPr>
      <w:r w:rsidRPr="009A19B5">
        <w:rPr>
          <w:bCs/>
          <w:i/>
          <w:iCs/>
        </w:rPr>
        <w:t>Technology in the criminal justice system</w:t>
      </w:r>
    </w:p>
    <w:p w14:paraId="163E2D9F" w14:textId="77777777" w:rsidR="00E46F25" w:rsidRPr="009A19B5" w:rsidRDefault="00E46F25" w:rsidP="00E46F25">
      <w:pPr>
        <w:numPr>
          <w:ilvl w:val="0"/>
          <w:numId w:val="7"/>
        </w:numPr>
        <w:autoSpaceDE w:val="0"/>
        <w:autoSpaceDN w:val="0"/>
        <w:adjustRightInd w:val="0"/>
        <w:rPr>
          <w:bCs/>
          <w:i/>
          <w:iCs/>
        </w:rPr>
      </w:pPr>
      <w:r w:rsidRPr="009A19B5">
        <w:rPr>
          <w:bCs/>
          <w:i/>
          <w:iCs/>
        </w:rPr>
        <w:t>Diverting nonviolent offenders from jail and prison</w:t>
      </w:r>
    </w:p>
    <w:p w14:paraId="6A68FC2F" w14:textId="77777777" w:rsidR="00E46F25" w:rsidRPr="009A19B5" w:rsidRDefault="00E46F25" w:rsidP="00E46F25">
      <w:pPr>
        <w:numPr>
          <w:ilvl w:val="0"/>
          <w:numId w:val="7"/>
        </w:numPr>
        <w:autoSpaceDE w:val="0"/>
        <w:autoSpaceDN w:val="0"/>
        <w:adjustRightInd w:val="0"/>
        <w:rPr>
          <w:bCs/>
          <w:i/>
          <w:iCs/>
        </w:rPr>
      </w:pPr>
      <w:r w:rsidRPr="009A19B5">
        <w:rPr>
          <w:bCs/>
          <w:i/>
          <w:iCs/>
        </w:rPr>
        <w:t>Prisoner reentry into society</w:t>
      </w:r>
    </w:p>
    <w:p w14:paraId="589F8598" w14:textId="77777777" w:rsidR="00E46F25" w:rsidRPr="009A19B5" w:rsidRDefault="00E46F25" w:rsidP="00E46F25">
      <w:pPr>
        <w:numPr>
          <w:ilvl w:val="0"/>
          <w:numId w:val="7"/>
        </w:numPr>
        <w:autoSpaceDE w:val="0"/>
        <w:autoSpaceDN w:val="0"/>
        <w:adjustRightInd w:val="0"/>
        <w:rPr>
          <w:bCs/>
          <w:i/>
          <w:iCs/>
        </w:rPr>
      </w:pPr>
      <w:r w:rsidRPr="009A19B5">
        <w:rPr>
          <w:bCs/>
          <w:i/>
          <w:iCs/>
        </w:rPr>
        <w:t>Recruiting and retaining criminal justice system personnel</w:t>
      </w:r>
    </w:p>
    <w:p w14:paraId="7AD4EEFC" w14:textId="77777777" w:rsidR="00E46F25" w:rsidRPr="009A19B5" w:rsidRDefault="00E46F25" w:rsidP="00E46F25">
      <w:pPr>
        <w:numPr>
          <w:ilvl w:val="0"/>
          <w:numId w:val="7"/>
        </w:numPr>
        <w:autoSpaceDE w:val="0"/>
        <w:autoSpaceDN w:val="0"/>
        <w:adjustRightInd w:val="0"/>
        <w:rPr>
          <w:bCs/>
          <w:i/>
          <w:iCs/>
        </w:rPr>
      </w:pPr>
      <w:r w:rsidRPr="009A19B5">
        <w:rPr>
          <w:bCs/>
          <w:i/>
          <w:iCs/>
        </w:rPr>
        <w:t>Multidisciplinary training for criminal justice system personnel</w:t>
      </w:r>
    </w:p>
    <w:p w14:paraId="55E1206C" w14:textId="77777777" w:rsidR="00E46F25" w:rsidRPr="009A19B5" w:rsidRDefault="00E46F25" w:rsidP="00E46F25">
      <w:pPr>
        <w:numPr>
          <w:ilvl w:val="0"/>
          <w:numId w:val="7"/>
        </w:numPr>
        <w:autoSpaceDE w:val="0"/>
        <w:autoSpaceDN w:val="0"/>
        <w:adjustRightInd w:val="0"/>
        <w:rPr>
          <w:bCs/>
          <w:i/>
          <w:iCs/>
        </w:rPr>
      </w:pPr>
      <w:r w:rsidRPr="009A19B5">
        <w:rPr>
          <w:bCs/>
          <w:i/>
          <w:iCs/>
        </w:rPr>
        <w:t>Standardized training and testing for law enforcement officers</w:t>
      </w:r>
    </w:p>
    <w:p w14:paraId="38A5B836" w14:textId="77777777" w:rsidR="00E46F25" w:rsidRPr="009A19B5" w:rsidRDefault="00E46F25" w:rsidP="00E46F25">
      <w:pPr>
        <w:numPr>
          <w:ilvl w:val="0"/>
          <w:numId w:val="7"/>
        </w:numPr>
        <w:autoSpaceDE w:val="0"/>
        <w:autoSpaceDN w:val="0"/>
        <w:adjustRightInd w:val="0"/>
        <w:rPr>
          <w:bCs/>
          <w:i/>
          <w:iCs/>
        </w:rPr>
      </w:pPr>
      <w:r w:rsidRPr="009A19B5">
        <w:rPr>
          <w:bCs/>
          <w:i/>
          <w:iCs/>
        </w:rPr>
        <w:t>Juvenile delinquency and crime prevention</w:t>
      </w:r>
    </w:p>
    <w:p w14:paraId="4898B573" w14:textId="77777777" w:rsidR="00E46F25" w:rsidRPr="009A19B5" w:rsidRDefault="00E46F25" w:rsidP="00E46F25">
      <w:pPr>
        <w:numPr>
          <w:ilvl w:val="0"/>
          <w:numId w:val="7"/>
        </w:numPr>
        <w:autoSpaceDE w:val="0"/>
        <w:autoSpaceDN w:val="0"/>
        <w:adjustRightInd w:val="0"/>
      </w:pPr>
      <w:r w:rsidRPr="009A19B5">
        <w:rPr>
          <w:bCs/>
          <w:i/>
          <w:iCs/>
        </w:rPr>
        <w:t>Improving the juvenile justice system</w:t>
      </w:r>
    </w:p>
    <w:p w14:paraId="2575E1B5" w14:textId="77777777" w:rsidR="00E46F25" w:rsidRPr="009A19B5" w:rsidRDefault="00E46F25" w:rsidP="00E46F25">
      <w:pPr>
        <w:numPr>
          <w:ilvl w:val="0"/>
          <w:numId w:val="7"/>
        </w:numPr>
        <w:autoSpaceDE w:val="0"/>
        <w:autoSpaceDN w:val="0"/>
        <w:adjustRightInd w:val="0"/>
        <w:rPr>
          <w:bCs/>
          <w:i/>
          <w:iCs/>
        </w:rPr>
      </w:pPr>
      <w:r w:rsidRPr="009A19B5">
        <w:rPr>
          <w:bCs/>
          <w:i/>
          <w:iCs/>
        </w:rPr>
        <w:t>Preventing crime</w:t>
      </w:r>
    </w:p>
    <w:p w14:paraId="3660A9EE" w14:textId="77777777" w:rsidR="00E46F25" w:rsidRPr="009A19B5" w:rsidRDefault="00E46F25" w:rsidP="00E46F25">
      <w:pPr>
        <w:numPr>
          <w:ilvl w:val="0"/>
          <w:numId w:val="7"/>
        </w:numPr>
        <w:autoSpaceDE w:val="0"/>
        <w:autoSpaceDN w:val="0"/>
        <w:adjustRightInd w:val="0"/>
        <w:rPr>
          <w:bCs/>
          <w:i/>
          <w:iCs/>
        </w:rPr>
      </w:pPr>
      <w:r w:rsidRPr="009A19B5">
        <w:rPr>
          <w:bCs/>
          <w:i/>
          <w:iCs/>
        </w:rPr>
        <w:t>Security at schools and college/university campuses</w:t>
      </w:r>
    </w:p>
    <w:p w14:paraId="3563ECBF" w14:textId="77777777" w:rsidR="00E46F25" w:rsidRPr="009A19B5" w:rsidRDefault="00E46F25" w:rsidP="00E46F25">
      <w:pPr>
        <w:numPr>
          <w:ilvl w:val="0"/>
          <w:numId w:val="7"/>
        </w:numPr>
        <w:autoSpaceDE w:val="0"/>
        <w:autoSpaceDN w:val="0"/>
        <w:adjustRightInd w:val="0"/>
        <w:rPr>
          <w:bCs/>
          <w:i/>
          <w:iCs/>
        </w:rPr>
      </w:pPr>
      <w:r w:rsidRPr="009A19B5">
        <w:rPr>
          <w:bCs/>
          <w:i/>
          <w:iCs/>
        </w:rPr>
        <w:t>Domestic preparedness and the criminal justice system</w:t>
      </w:r>
    </w:p>
    <w:p w14:paraId="557E3AB2" w14:textId="77777777" w:rsidR="00E46F25" w:rsidRPr="009A19B5" w:rsidRDefault="00E46F25" w:rsidP="00E46F25">
      <w:pPr>
        <w:numPr>
          <w:ilvl w:val="0"/>
          <w:numId w:val="7"/>
        </w:numPr>
        <w:autoSpaceDE w:val="0"/>
        <w:autoSpaceDN w:val="0"/>
        <w:adjustRightInd w:val="0"/>
        <w:rPr>
          <w:bCs/>
          <w:i/>
          <w:iCs/>
        </w:rPr>
      </w:pPr>
      <w:r w:rsidRPr="009A19B5">
        <w:rPr>
          <w:bCs/>
          <w:i/>
          <w:iCs/>
        </w:rPr>
        <w:t>Mental health and the criminal justice system</w:t>
      </w:r>
    </w:p>
    <w:p w14:paraId="669E9A4D" w14:textId="77777777" w:rsidR="00E46F25" w:rsidRPr="009A19B5" w:rsidRDefault="00E46F25" w:rsidP="00E46F25">
      <w:pPr>
        <w:numPr>
          <w:ilvl w:val="0"/>
          <w:numId w:val="7"/>
        </w:numPr>
        <w:autoSpaceDE w:val="0"/>
        <w:autoSpaceDN w:val="0"/>
        <w:adjustRightInd w:val="0"/>
        <w:rPr>
          <w:bCs/>
          <w:i/>
          <w:iCs/>
        </w:rPr>
      </w:pPr>
      <w:r w:rsidRPr="009A19B5">
        <w:rPr>
          <w:bCs/>
          <w:i/>
          <w:iCs/>
        </w:rPr>
        <w:t>The impact of drugs on the criminal justice system</w:t>
      </w:r>
    </w:p>
    <w:p w14:paraId="6D925B6E" w14:textId="77777777" w:rsidR="00E46F25" w:rsidRPr="009A19B5" w:rsidRDefault="00E46F25" w:rsidP="00E46F25">
      <w:pPr>
        <w:numPr>
          <w:ilvl w:val="0"/>
          <w:numId w:val="7"/>
        </w:numPr>
        <w:autoSpaceDE w:val="0"/>
        <w:autoSpaceDN w:val="0"/>
        <w:adjustRightInd w:val="0"/>
        <w:rPr>
          <w:bCs/>
          <w:i/>
          <w:iCs/>
        </w:rPr>
      </w:pPr>
      <w:r w:rsidRPr="009A19B5">
        <w:rPr>
          <w:bCs/>
          <w:i/>
          <w:iCs/>
        </w:rPr>
        <w:t>Drug prevention and treatment</w:t>
      </w:r>
    </w:p>
    <w:p w14:paraId="22CA7489" w14:textId="77777777" w:rsidR="00E46F25" w:rsidRPr="009A19B5" w:rsidRDefault="00E46F25" w:rsidP="00E46F25">
      <w:pPr>
        <w:numPr>
          <w:ilvl w:val="0"/>
          <w:numId w:val="7"/>
        </w:numPr>
        <w:autoSpaceDE w:val="0"/>
        <w:autoSpaceDN w:val="0"/>
        <w:adjustRightInd w:val="0"/>
        <w:rPr>
          <w:bCs/>
          <w:i/>
          <w:iCs/>
        </w:rPr>
      </w:pPr>
      <w:r w:rsidRPr="009A19B5">
        <w:rPr>
          <w:bCs/>
          <w:i/>
          <w:iCs/>
        </w:rPr>
        <w:t>Knowing what works in criminal justice</w:t>
      </w:r>
    </w:p>
    <w:p w14:paraId="4BE58310" w14:textId="77777777" w:rsidR="00E46F25" w:rsidRPr="009A19B5" w:rsidRDefault="00E46F25" w:rsidP="00E46F25">
      <w:pPr>
        <w:numPr>
          <w:ilvl w:val="0"/>
          <w:numId w:val="7"/>
        </w:numPr>
        <w:autoSpaceDE w:val="0"/>
        <w:autoSpaceDN w:val="0"/>
        <w:adjustRightInd w:val="0"/>
        <w:rPr>
          <w:bCs/>
          <w:i/>
          <w:iCs/>
        </w:rPr>
      </w:pPr>
      <w:r w:rsidRPr="009A19B5">
        <w:rPr>
          <w:bCs/>
          <w:i/>
          <w:iCs/>
        </w:rPr>
        <w:lastRenderedPageBreak/>
        <w:t>Equality and consistency in the criminal justice system</w:t>
      </w:r>
    </w:p>
    <w:p w14:paraId="3EE1C7BE" w14:textId="77777777" w:rsidR="00E46F25" w:rsidRPr="009A19B5" w:rsidRDefault="00E46F25" w:rsidP="00E46F25">
      <w:pPr>
        <w:numPr>
          <w:ilvl w:val="0"/>
          <w:numId w:val="7"/>
        </w:numPr>
        <w:autoSpaceDE w:val="0"/>
        <w:autoSpaceDN w:val="0"/>
        <w:adjustRightInd w:val="0"/>
        <w:rPr>
          <w:bCs/>
          <w:i/>
          <w:iCs/>
        </w:rPr>
      </w:pPr>
      <w:r w:rsidRPr="009A19B5">
        <w:rPr>
          <w:bCs/>
          <w:i/>
          <w:iCs/>
        </w:rPr>
        <w:t>Immigration and the criminal justice system</w:t>
      </w:r>
    </w:p>
    <w:p w14:paraId="76B89013" w14:textId="77777777" w:rsidR="00E46F25" w:rsidRPr="009A19B5" w:rsidRDefault="00E46F25" w:rsidP="00E46F25">
      <w:pPr>
        <w:numPr>
          <w:ilvl w:val="0"/>
          <w:numId w:val="7"/>
        </w:numPr>
        <w:autoSpaceDE w:val="0"/>
        <w:autoSpaceDN w:val="0"/>
        <w:adjustRightInd w:val="0"/>
        <w:rPr>
          <w:bCs/>
          <w:i/>
          <w:iCs/>
        </w:rPr>
      </w:pPr>
      <w:r w:rsidRPr="009A19B5">
        <w:rPr>
          <w:bCs/>
          <w:i/>
          <w:iCs/>
        </w:rPr>
        <w:t>Victims of crime and the criminal justice system</w:t>
      </w:r>
    </w:p>
    <w:p w14:paraId="217C10C1" w14:textId="77777777" w:rsidR="00E46F25" w:rsidRPr="009A19B5" w:rsidRDefault="00E46F25" w:rsidP="00E46F25">
      <w:pPr>
        <w:numPr>
          <w:ilvl w:val="0"/>
          <w:numId w:val="7"/>
        </w:numPr>
      </w:pPr>
      <w:r w:rsidRPr="009A19B5">
        <w:rPr>
          <w:bCs/>
          <w:i/>
          <w:iCs/>
        </w:rPr>
        <w:t>Public awareness and the criminal justice system</w:t>
      </w:r>
    </w:p>
    <w:p w14:paraId="67F617C2" w14:textId="77777777" w:rsidR="00E9568D" w:rsidRDefault="00E9568D" w:rsidP="00E46F25">
      <w:pPr>
        <w:autoSpaceDE w:val="0"/>
        <w:autoSpaceDN w:val="0"/>
        <w:adjustRightInd w:val="0"/>
      </w:pPr>
    </w:p>
    <w:p w14:paraId="66FA56AD" w14:textId="4DE2AF89" w:rsidR="00E9568D" w:rsidRDefault="00E9568D" w:rsidP="00E9568D">
      <w:pPr>
        <w:autoSpaceDE w:val="0"/>
        <w:autoSpaceDN w:val="0"/>
        <w:adjustRightInd w:val="0"/>
        <w:ind w:firstLine="720"/>
      </w:pPr>
      <w:r>
        <w:t xml:space="preserve">In the ensuing years, DCJS has augmented the input obtained through that planning process through surveys and data analyses conducted by our Research Center (Virginia’s Statistical Analysis Center) on many topics and issues, including gangs, human trafficking, school safety, crime trends, jail and prison populations. We have also surveyed </w:t>
      </w:r>
      <w:r w:rsidR="00CE610A">
        <w:t xml:space="preserve">practitioners </w:t>
      </w:r>
      <w:r>
        <w:t xml:space="preserve">to determine training needs in numerous areas. </w:t>
      </w:r>
    </w:p>
    <w:p w14:paraId="2CDC0596" w14:textId="77777777" w:rsidR="00E9568D" w:rsidRDefault="00E9568D" w:rsidP="00E9568D">
      <w:pPr>
        <w:autoSpaceDE w:val="0"/>
        <w:autoSpaceDN w:val="0"/>
        <w:adjustRightInd w:val="0"/>
        <w:ind w:firstLine="720"/>
      </w:pPr>
    </w:p>
    <w:p w14:paraId="0FCF2410" w14:textId="0C73B490" w:rsidR="00E9568D" w:rsidRDefault="00E9568D" w:rsidP="00E9568D">
      <w:pPr>
        <w:autoSpaceDE w:val="0"/>
        <w:autoSpaceDN w:val="0"/>
        <w:adjustRightInd w:val="0"/>
        <w:ind w:firstLine="720"/>
      </w:pPr>
      <w:r>
        <w:t>In addition, agency staff and management have</w:t>
      </w:r>
      <w:r w:rsidR="00CE610A">
        <w:t>, during the past year,</w:t>
      </w:r>
      <w:r>
        <w:t xml:space="preserve"> led or served on workgroups and task forces focused on: implementing evidence-based practices in community corrections, pretrial services and offender reentry services; prescription drug and heroin abuse, campus sexual assault, improving mental health services and crisis response, use of body worn cameras by law enforcement, reducing gun violence and other emerging issues.  This </w:t>
      </w:r>
      <w:r w:rsidR="00E10513">
        <w:t xml:space="preserve">has </w:t>
      </w:r>
      <w:r>
        <w:t>include</w:t>
      </w:r>
      <w:r w:rsidR="00E10513">
        <w:t>d</w:t>
      </w:r>
      <w:r>
        <w:t xml:space="preserve"> consultation with stakeholder groups representing many of the agency’s constituencies.  These efforts have informed our training and technical assistance work as well as our grant-making.</w:t>
      </w:r>
    </w:p>
    <w:p w14:paraId="18A721C1" w14:textId="77777777" w:rsidR="00E9568D" w:rsidRDefault="00E9568D" w:rsidP="00E9568D">
      <w:pPr>
        <w:autoSpaceDE w:val="0"/>
        <w:autoSpaceDN w:val="0"/>
        <w:adjustRightInd w:val="0"/>
        <w:ind w:firstLine="720"/>
      </w:pPr>
    </w:p>
    <w:p w14:paraId="5EC69578" w14:textId="77777777" w:rsidR="00E9568D" w:rsidRDefault="00E9568D" w:rsidP="00E9568D">
      <w:pPr>
        <w:autoSpaceDE w:val="0"/>
        <w:autoSpaceDN w:val="0"/>
        <w:adjustRightInd w:val="0"/>
        <w:ind w:firstLine="720"/>
      </w:pPr>
      <w:r>
        <w:t>We are currently in the process of developing a new plan.   In the meantime, the results of the previous planning process and subsequent input described above provide broad guidance which we will use in allocating FY’16 JAG funds.</w:t>
      </w:r>
    </w:p>
    <w:p w14:paraId="3CE8AED2" w14:textId="77777777" w:rsidR="00983E65" w:rsidRPr="00EE396F" w:rsidRDefault="00983E65" w:rsidP="00EE396F"/>
    <w:p w14:paraId="45877F49" w14:textId="77777777" w:rsidR="00983E65" w:rsidRPr="00516EC0" w:rsidRDefault="00983E65" w:rsidP="008D0CE8">
      <w:pPr>
        <w:rPr>
          <w:i/>
        </w:rPr>
      </w:pPr>
      <w:r w:rsidRPr="00516EC0">
        <w:rPr>
          <w:b/>
          <w:i/>
        </w:rPr>
        <w:t>C</w:t>
      </w:r>
      <w:r w:rsidR="00E9568D">
        <w:rPr>
          <w:b/>
          <w:i/>
        </w:rPr>
        <w:t>apabilities and Competencies</w:t>
      </w:r>
    </w:p>
    <w:p w14:paraId="7A2AFAEB" w14:textId="77777777" w:rsidR="00A04C14" w:rsidRDefault="00A04C14" w:rsidP="00C3245A">
      <w:pPr>
        <w:ind w:firstLine="720"/>
      </w:pPr>
    </w:p>
    <w:p w14:paraId="5DE8FCAF" w14:textId="77777777" w:rsidR="006049BB" w:rsidRDefault="00B369DC" w:rsidP="00C3245A">
      <w:pPr>
        <w:ind w:firstLine="720"/>
      </w:pPr>
      <w:r>
        <w:t xml:space="preserve">In addition to its responsibility for managing Virginia’s state allocation of Justice Assistance Grant funds, the Department of </w:t>
      </w:r>
      <w:r w:rsidR="00B52A23">
        <w:t>Criminal Justice Services</w:t>
      </w:r>
      <w:r>
        <w:t xml:space="preserve"> also </w:t>
      </w:r>
      <w:r w:rsidR="00F94725">
        <w:t xml:space="preserve">plans for and </w:t>
      </w:r>
      <w:r>
        <w:t xml:space="preserve">administers most of the other federal justice assistance formula funds that come to the state.  This includes funds from the Juvenile Justice and Delinquency Prevention Act, the Juvenile Accountability Block Grant, Victims of Crime Act, Children’s Justice Act, Violence Against Women Act, </w:t>
      </w:r>
      <w:r w:rsidR="006049BB">
        <w:t xml:space="preserve">and </w:t>
      </w:r>
      <w:r>
        <w:t>Residential Substance Abuse Treatment Act</w:t>
      </w:r>
      <w:r w:rsidR="006049BB">
        <w:t>.</w:t>
      </w:r>
      <w:r w:rsidR="009675D8" w:rsidRPr="009675D8">
        <w:t xml:space="preserve"> </w:t>
      </w:r>
      <w:r w:rsidR="009675D8">
        <w:t xml:space="preserve"> </w:t>
      </w:r>
    </w:p>
    <w:p w14:paraId="4E32B465" w14:textId="77777777" w:rsidR="00516EC0" w:rsidRDefault="00516EC0" w:rsidP="00C3245A">
      <w:pPr>
        <w:ind w:firstLine="720"/>
      </w:pPr>
    </w:p>
    <w:p w14:paraId="0A3F52F9" w14:textId="77777777" w:rsidR="006049BB" w:rsidRDefault="006049BB" w:rsidP="00C3245A">
      <w:pPr>
        <w:ind w:firstLine="720"/>
      </w:pPr>
      <w:r>
        <w:t>The Department also administers state funds appropriated for victim-witness assistance programs, services for sexual assault and domestic violence victims, local community corrections and pretrial services programs, school resource</w:t>
      </w:r>
      <w:r w:rsidR="00282B63">
        <w:t>/security</w:t>
      </w:r>
      <w:r>
        <w:t xml:space="preserve"> officers, offender reentry programs, court appointed special advocates</w:t>
      </w:r>
      <w:r w:rsidR="009675D8">
        <w:t xml:space="preserve"> (CASA)</w:t>
      </w:r>
      <w:r w:rsidR="00964219">
        <w:t>, and Internet crimes against children task forces</w:t>
      </w:r>
      <w:r w:rsidR="00E80B0B">
        <w:t>.</w:t>
      </w:r>
    </w:p>
    <w:p w14:paraId="3A5ECA7D" w14:textId="77777777" w:rsidR="009A573D" w:rsidRDefault="009A573D" w:rsidP="00C3245A">
      <w:pPr>
        <w:ind w:firstLine="720"/>
      </w:pPr>
    </w:p>
    <w:p w14:paraId="618AE171" w14:textId="77777777" w:rsidR="00D31437" w:rsidRDefault="009675D8" w:rsidP="00C3245A">
      <w:pPr>
        <w:ind w:firstLine="720"/>
      </w:pPr>
      <w:r>
        <w:t xml:space="preserve">DCJS has ongoing relationships with all of the state agencies that have criminal </w:t>
      </w:r>
      <w:r w:rsidR="00D31437">
        <w:t xml:space="preserve">justice, </w:t>
      </w:r>
      <w:r>
        <w:t>juvenile justice</w:t>
      </w:r>
      <w:r w:rsidR="00D31437">
        <w:t xml:space="preserve"> or related</w:t>
      </w:r>
      <w:r>
        <w:t xml:space="preserve"> responsibilities</w:t>
      </w:r>
      <w:r w:rsidR="003455E5">
        <w:t>.  These include the Departments of Corrections, Juvenile Justice and Forensic Science</w:t>
      </w:r>
      <w:r>
        <w:t>,</w:t>
      </w:r>
      <w:r w:rsidR="003455E5">
        <w:t xml:space="preserve"> the State Police, the Commonwealth’s Attorneys’ Services Council, the</w:t>
      </w:r>
      <w:r w:rsidR="00D31437">
        <w:t xml:space="preserve"> Indigent Defense Commission,</w:t>
      </w:r>
      <w:r w:rsidR="003455E5">
        <w:t xml:space="preserve"> the Executive Secretary of the Supreme Court of Virginia</w:t>
      </w:r>
      <w:r w:rsidR="002A57F4">
        <w:t>,</w:t>
      </w:r>
      <w:r w:rsidR="00D31437">
        <w:t xml:space="preserve"> the Criminal Injuries Compensation Fund, the</w:t>
      </w:r>
      <w:r w:rsidR="003455E5">
        <w:t xml:space="preserve"> </w:t>
      </w:r>
      <w:r w:rsidR="00D31437">
        <w:t xml:space="preserve">Department of Behavioral Health and Developmental Services </w:t>
      </w:r>
      <w:r w:rsidR="00D31437">
        <w:lastRenderedPageBreak/>
        <w:t xml:space="preserve">and the Department of Social Services.  </w:t>
      </w:r>
      <w:r w:rsidR="003455E5">
        <w:t xml:space="preserve">We also collaborate with the </w:t>
      </w:r>
      <w:r w:rsidR="00D31437">
        <w:t>private organizations and associations that represent our varied constituencies.</w:t>
      </w:r>
    </w:p>
    <w:p w14:paraId="27F7A98F" w14:textId="77777777" w:rsidR="00D31437" w:rsidRDefault="00D31437" w:rsidP="00C3245A">
      <w:pPr>
        <w:ind w:firstLine="720"/>
      </w:pPr>
    </w:p>
    <w:p w14:paraId="63308FF0" w14:textId="77777777" w:rsidR="009A573D" w:rsidRDefault="00D31437" w:rsidP="00C3245A">
      <w:pPr>
        <w:ind w:firstLine="720"/>
      </w:pPr>
      <w:r>
        <w:t>We work</w:t>
      </w:r>
      <w:r w:rsidR="00F94725">
        <w:t xml:space="preserve"> </w:t>
      </w:r>
      <w:r w:rsidR="009675D8">
        <w:t>with these agencies</w:t>
      </w:r>
      <w:r>
        <w:t xml:space="preserve"> and organizations</w:t>
      </w:r>
      <w:r w:rsidR="009675D8">
        <w:t xml:space="preserve"> on a</w:t>
      </w:r>
      <w:r w:rsidR="00F94725">
        <w:t xml:space="preserve">n ongoing basis in an effort to make the most effective use of available state and federal funds.  In addition, Department </w:t>
      </w:r>
      <w:r w:rsidR="00B52A23">
        <w:t xml:space="preserve">staff members serve </w:t>
      </w:r>
      <w:r w:rsidR="00F94725">
        <w:t>on task forces and committees formed to specifically address a</w:t>
      </w:r>
      <w:r w:rsidR="009675D8">
        <w:t xml:space="preserve"> number of issues and topics, including </w:t>
      </w:r>
      <w:r w:rsidR="00964219">
        <w:t xml:space="preserve">gangs, </w:t>
      </w:r>
      <w:r w:rsidR="00F94725">
        <w:t xml:space="preserve">adult and juvenile </w:t>
      </w:r>
      <w:r w:rsidR="00964219">
        <w:t xml:space="preserve">offender reentry, </w:t>
      </w:r>
      <w:r w:rsidR="009675D8">
        <w:t>drug courts, substance abuse treatment for adults and juveniles, and services</w:t>
      </w:r>
      <w:r w:rsidR="001C2D7E">
        <w:t xml:space="preserve"> for</w:t>
      </w:r>
      <w:r w:rsidR="009675D8">
        <w:t xml:space="preserve"> crime victims.</w:t>
      </w:r>
    </w:p>
    <w:p w14:paraId="590EE4D8" w14:textId="77777777" w:rsidR="009A573D" w:rsidRDefault="009A573D" w:rsidP="00C3245A">
      <w:pPr>
        <w:ind w:firstLine="720"/>
      </w:pPr>
    </w:p>
    <w:p w14:paraId="2B6E1992" w14:textId="1A1D725F" w:rsidR="00EE396F" w:rsidRPr="00516EC0" w:rsidRDefault="00E46F25" w:rsidP="00EE396F">
      <w:pPr>
        <w:autoSpaceDE w:val="0"/>
        <w:autoSpaceDN w:val="0"/>
        <w:adjustRightInd w:val="0"/>
        <w:rPr>
          <w:b/>
          <w:i/>
        </w:rPr>
      </w:pPr>
      <w:r>
        <w:rPr>
          <w:b/>
          <w:i/>
        </w:rPr>
        <w:t>Plan for Collecting</w:t>
      </w:r>
      <w:r w:rsidR="00CE4E10">
        <w:rPr>
          <w:b/>
          <w:i/>
        </w:rPr>
        <w:t xml:space="preserve"> and Reporting</w:t>
      </w:r>
      <w:r>
        <w:rPr>
          <w:b/>
          <w:i/>
        </w:rPr>
        <w:t xml:space="preserve"> </w:t>
      </w:r>
      <w:r w:rsidR="00CE4E10">
        <w:rPr>
          <w:b/>
          <w:i/>
        </w:rPr>
        <w:t>Data Required for</w:t>
      </w:r>
      <w:r w:rsidR="00EE396F" w:rsidRPr="00516EC0">
        <w:rPr>
          <w:b/>
          <w:i/>
        </w:rPr>
        <w:t xml:space="preserve"> Performance Measures</w:t>
      </w:r>
    </w:p>
    <w:p w14:paraId="39D7CD7B" w14:textId="77777777" w:rsidR="00EE396F" w:rsidRDefault="00EE396F" w:rsidP="00EE396F">
      <w:pPr>
        <w:autoSpaceDE w:val="0"/>
        <w:autoSpaceDN w:val="0"/>
        <w:adjustRightInd w:val="0"/>
        <w:ind w:firstLine="720"/>
      </w:pPr>
    </w:p>
    <w:p w14:paraId="26F2C08D" w14:textId="1D2146EC" w:rsidR="00EE396F" w:rsidRDefault="00EE396F" w:rsidP="00EE396F">
      <w:pPr>
        <w:autoSpaceDE w:val="0"/>
        <w:autoSpaceDN w:val="0"/>
        <w:adjustRightInd w:val="0"/>
        <w:ind w:firstLine="720"/>
      </w:pPr>
      <w:r>
        <w:t xml:space="preserve">As a condition of their grant awards, </w:t>
      </w:r>
      <w:r w:rsidR="00CE4E10">
        <w:t xml:space="preserve">all </w:t>
      </w:r>
      <w:r>
        <w:t xml:space="preserve">recipients will be required to submit quarterly progress and financial reports to </w:t>
      </w:r>
      <w:r w:rsidR="00CE4E10">
        <w:t>DCJS.  This</w:t>
      </w:r>
      <w:r>
        <w:t xml:space="preserve"> will be structured to assure that sub-grantees provide DCJS with the data we need to submit to BJA’s performance measure reporting system, and to provide additional information to DCJS on project implementation and anecdotal evidence of progress and impact.</w:t>
      </w:r>
    </w:p>
    <w:p w14:paraId="49D1A508" w14:textId="77777777" w:rsidR="008D7F4B" w:rsidRDefault="008D7F4B" w:rsidP="00EE396F"/>
    <w:sectPr w:rsidR="008D7F4B" w:rsidSect="00885A4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00C9" w14:textId="77777777" w:rsidR="00F212F2" w:rsidRDefault="00F212F2" w:rsidP="006A663E">
      <w:r>
        <w:separator/>
      </w:r>
    </w:p>
  </w:endnote>
  <w:endnote w:type="continuationSeparator" w:id="0">
    <w:p w14:paraId="13A33ABE" w14:textId="77777777" w:rsidR="00F212F2" w:rsidRDefault="00F212F2" w:rsidP="006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57B7" w14:textId="77777777" w:rsidR="00E46F25" w:rsidRDefault="00E46F25">
    <w:pPr>
      <w:pStyle w:val="Footer"/>
      <w:pBdr>
        <w:top w:val="thinThickSmallGap" w:sz="24" w:space="1" w:color="622423"/>
      </w:pBdr>
      <w:rPr>
        <w:rFonts w:ascii="Cambria" w:hAnsi="Cambria"/>
      </w:rPr>
    </w:pPr>
    <w:r>
      <w:rPr>
        <w:rFonts w:ascii="Cambria" w:hAnsi="Cambria"/>
      </w:rPr>
      <w:t xml:space="preserve">Virginia FY’16 JAG Application Narrative </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2F34EA" w:rsidRPr="002F34EA">
      <w:rPr>
        <w:rFonts w:ascii="Cambria" w:hAnsi="Cambria"/>
        <w:noProof/>
      </w:rPr>
      <w:t>1</w:t>
    </w:r>
    <w:r>
      <w:rPr>
        <w:rFonts w:ascii="Cambria" w:hAnsi="Cambria"/>
        <w:noProof/>
      </w:rPr>
      <w:fldChar w:fldCharType="end"/>
    </w:r>
  </w:p>
  <w:p w14:paraId="34C0FC98" w14:textId="77777777" w:rsidR="00E46F25" w:rsidRDefault="00E4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96F5" w14:textId="77777777" w:rsidR="00F212F2" w:rsidRDefault="00F212F2" w:rsidP="006A663E">
      <w:r>
        <w:separator/>
      </w:r>
    </w:p>
  </w:footnote>
  <w:footnote w:type="continuationSeparator" w:id="0">
    <w:p w14:paraId="41928532" w14:textId="77777777" w:rsidR="00F212F2" w:rsidRDefault="00F212F2" w:rsidP="006A6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C048E"/>
    <w:multiLevelType w:val="hybridMultilevel"/>
    <w:tmpl w:val="DBA29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57E93"/>
    <w:multiLevelType w:val="hybridMultilevel"/>
    <w:tmpl w:val="279E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1654C"/>
    <w:multiLevelType w:val="hybridMultilevel"/>
    <w:tmpl w:val="D584E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408C1"/>
    <w:multiLevelType w:val="hybridMultilevel"/>
    <w:tmpl w:val="2598B2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B75BE3"/>
    <w:multiLevelType w:val="hybridMultilevel"/>
    <w:tmpl w:val="B462A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32004"/>
    <w:multiLevelType w:val="hybridMultilevel"/>
    <w:tmpl w:val="F866E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F0769"/>
    <w:multiLevelType w:val="hybridMultilevel"/>
    <w:tmpl w:val="F98AB3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603D3B"/>
    <w:multiLevelType w:val="hybridMultilevel"/>
    <w:tmpl w:val="A60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57E6A"/>
    <w:multiLevelType w:val="hybridMultilevel"/>
    <w:tmpl w:val="F596056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5A3FD0"/>
    <w:multiLevelType w:val="hybridMultilevel"/>
    <w:tmpl w:val="C07A7D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EF3FEE"/>
    <w:multiLevelType w:val="hybridMultilevel"/>
    <w:tmpl w:val="AD6A63D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2550F2"/>
    <w:multiLevelType w:val="hybridMultilevel"/>
    <w:tmpl w:val="18A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D1EC1"/>
    <w:multiLevelType w:val="hybridMultilevel"/>
    <w:tmpl w:val="243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67619"/>
    <w:multiLevelType w:val="hybridMultilevel"/>
    <w:tmpl w:val="BCD4B55A"/>
    <w:lvl w:ilvl="0" w:tplc="F0C698DA">
      <w:start w:val="1"/>
      <w:numFmt w:val="bullet"/>
      <w:lvlText w:val="-"/>
      <w:lvlJc w:val="left"/>
      <w:pPr>
        <w:tabs>
          <w:tab w:val="num" w:pos="720"/>
        </w:tabs>
        <w:ind w:left="720" w:hanging="360"/>
      </w:pPr>
      <w:rPr>
        <w:rFonts w:ascii="Times New Roman" w:hAnsi="Times New Roman" w:hint="default"/>
      </w:rPr>
    </w:lvl>
    <w:lvl w:ilvl="1" w:tplc="75F6BCEC" w:tentative="1">
      <w:start w:val="1"/>
      <w:numFmt w:val="bullet"/>
      <w:lvlText w:val="-"/>
      <w:lvlJc w:val="left"/>
      <w:pPr>
        <w:tabs>
          <w:tab w:val="num" w:pos="1440"/>
        </w:tabs>
        <w:ind w:left="1440" w:hanging="360"/>
      </w:pPr>
      <w:rPr>
        <w:rFonts w:ascii="Times New Roman" w:hAnsi="Times New Roman" w:hint="default"/>
      </w:rPr>
    </w:lvl>
    <w:lvl w:ilvl="2" w:tplc="602039CE" w:tentative="1">
      <w:start w:val="1"/>
      <w:numFmt w:val="bullet"/>
      <w:lvlText w:val="-"/>
      <w:lvlJc w:val="left"/>
      <w:pPr>
        <w:tabs>
          <w:tab w:val="num" w:pos="2160"/>
        </w:tabs>
        <w:ind w:left="2160" w:hanging="360"/>
      </w:pPr>
      <w:rPr>
        <w:rFonts w:ascii="Times New Roman" w:hAnsi="Times New Roman" w:hint="default"/>
      </w:rPr>
    </w:lvl>
    <w:lvl w:ilvl="3" w:tplc="084238E8" w:tentative="1">
      <w:start w:val="1"/>
      <w:numFmt w:val="bullet"/>
      <w:lvlText w:val="-"/>
      <w:lvlJc w:val="left"/>
      <w:pPr>
        <w:tabs>
          <w:tab w:val="num" w:pos="2880"/>
        </w:tabs>
        <w:ind w:left="2880" w:hanging="360"/>
      </w:pPr>
      <w:rPr>
        <w:rFonts w:ascii="Times New Roman" w:hAnsi="Times New Roman" w:hint="default"/>
      </w:rPr>
    </w:lvl>
    <w:lvl w:ilvl="4" w:tplc="818C3F30" w:tentative="1">
      <w:start w:val="1"/>
      <w:numFmt w:val="bullet"/>
      <w:lvlText w:val="-"/>
      <w:lvlJc w:val="left"/>
      <w:pPr>
        <w:tabs>
          <w:tab w:val="num" w:pos="3600"/>
        </w:tabs>
        <w:ind w:left="3600" w:hanging="360"/>
      </w:pPr>
      <w:rPr>
        <w:rFonts w:ascii="Times New Roman" w:hAnsi="Times New Roman" w:hint="default"/>
      </w:rPr>
    </w:lvl>
    <w:lvl w:ilvl="5" w:tplc="913E9916" w:tentative="1">
      <w:start w:val="1"/>
      <w:numFmt w:val="bullet"/>
      <w:lvlText w:val="-"/>
      <w:lvlJc w:val="left"/>
      <w:pPr>
        <w:tabs>
          <w:tab w:val="num" w:pos="4320"/>
        </w:tabs>
        <w:ind w:left="4320" w:hanging="360"/>
      </w:pPr>
      <w:rPr>
        <w:rFonts w:ascii="Times New Roman" w:hAnsi="Times New Roman" w:hint="default"/>
      </w:rPr>
    </w:lvl>
    <w:lvl w:ilvl="6" w:tplc="5F0A6338" w:tentative="1">
      <w:start w:val="1"/>
      <w:numFmt w:val="bullet"/>
      <w:lvlText w:val="-"/>
      <w:lvlJc w:val="left"/>
      <w:pPr>
        <w:tabs>
          <w:tab w:val="num" w:pos="5040"/>
        </w:tabs>
        <w:ind w:left="5040" w:hanging="360"/>
      </w:pPr>
      <w:rPr>
        <w:rFonts w:ascii="Times New Roman" w:hAnsi="Times New Roman" w:hint="default"/>
      </w:rPr>
    </w:lvl>
    <w:lvl w:ilvl="7" w:tplc="C86416FA" w:tentative="1">
      <w:start w:val="1"/>
      <w:numFmt w:val="bullet"/>
      <w:lvlText w:val="-"/>
      <w:lvlJc w:val="left"/>
      <w:pPr>
        <w:tabs>
          <w:tab w:val="num" w:pos="5760"/>
        </w:tabs>
        <w:ind w:left="5760" w:hanging="360"/>
      </w:pPr>
      <w:rPr>
        <w:rFonts w:ascii="Times New Roman" w:hAnsi="Times New Roman" w:hint="default"/>
      </w:rPr>
    </w:lvl>
    <w:lvl w:ilvl="8" w:tplc="EA42A9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08206C"/>
    <w:multiLevelType w:val="hybridMultilevel"/>
    <w:tmpl w:val="108C1D74"/>
    <w:lvl w:ilvl="0" w:tplc="2B48C066">
      <w:start w:val="1"/>
      <w:numFmt w:val="bullet"/>
      <w:lvlText w:val="-"/>
      <w:lvlJc w:val="left"/>
      <w:pPr>
        <w:tabs>
          <w:tab w:val="num" w:pos="720"/>
        </w:tabs>
        <w:ind w:left="720" w:hanging="360"/>
      </w:pPr>
      <w:rPr>
        <w:rFonts w:ascii="Times New Roman" w:hAnsi="Times New Roman" w:hint="default"/>
      </w:rPr>
    </w:lvl>
    <w:lvl w:ilvl="1" w:tplc="A5D2F62A" w:tentative="1">
      <w:start w:val="1"/>
      <w:numFmt w:val="bullet"/>
      <w:lvlText w:val="-"/>
      <w:lvlJc w:val="left"/>
      <w:pPr>
        <w:tabs>
          <w:tab w:val="num" w:pos="1440"/>
        </w:tabs>
        <w:ind w:left="1440" w:hanging="360"/>
      </w:pPr>
      <w:rPr>
        <w:rFonts w:ascii="Times New Roman" w:hAnsi="Times New Roman" w:hint="default"/>
      </w:rPr>
    </w:lvl>
    <w:lvl w:ilvl="2" w:tplc="5100D6FE" w:tentative="1">
      <w:start w:val="1"/>
      <w:numFmt w:val="bullet"/>
      <w:lvlText w:val="-"/>
      <w:lvlJc w:val="left"/>
      <w:pPr>
        <w:tabs>
          <w:tab w:val="num" w:pos="2160"/>
        </w:tabs>
        <w:ind w:left="2160" w:hanging="360"/>
      </w:pPr>
      <w:rPr>
        <w:rFonts w:ascii="Times New Roman" w:hAnsi="Times New Roman" w:hint="default"/>
      </w:rPr>
    </w:lvl>
    <w:lvl w:ilvl="3" w:tplc="50869B22" w:tentative="1">
      <w:start w:val="1"/>
      <w:numFmt w:val="bullet"/>
      <w:lvlText w:val="-"/>
      <w:lvlJc w:val="left"/>
      <w:pPr>
        <w:tabs>
          <w:tab w:val="num" w:pos="2880"/>
        </w:tabs>
        <w:ind w:left="2880" w:hanging="360"/>
      </w:pPr>
      <w:rPr>
        <w:rFonts w:ascii="Times New Roman" w:hAnsi="Times New Roman" w:hint="default"/>
      </w:rPr>
    </w:lvl>
    <w:lvl w:ilvl="4" w:tplc="11A2CE74" w:tentative="1">
      <w:start w:val="1"/>
      <w:numFmt w:val="bullet"/>
      <w:lvlText w:val="-"/>
      <w:lvlJc w:val="left"/>
      <w:pPr>
        <w:tabs>
          <w:tab w:val="num" w:pos="3600"/>
        </w:tabs>
        <w:ind w:left="3600" w:hanging="360"/>
      </w:pPr>
      <w:rPr>
        <w:rFonts w:ascii="Times New Roman" w:hAnsi="Times New Roman" w:hint="default"/>
      </w:rPr>
    </w:lvl>
    <w:lvl w:ilvl="5" w:tplc="EC144C0A" w:tentative="1">
      <w:start w:val="1"/>
      <w:numFmt w:val="bullet"/>
      <w:lvlText w:val="-"/>
      <w:lvlJc w:val="left"/>
      <w:pPr>
        <w:tabs>
          <w:tab w:val="num" w:pos="4320"/>
        </w:tabs>
        <w:ind w:left="4320" w:hanging="360"/>
      </w:pPr>
      <w:rPr>
        <w:rFonts w:ascii="Times New Roman" w:hAnsi="Times New Roman" w:hint="default"/>
      </w:rPr>
    </w:lvl>
    <w:lvl w:ilvl="6" w:tplc="924AB796" w:tentative="1">
      <w:start w:val="1"/>
      <w:numFmt w:val="bullet"/>
      <w:lvlText w:val="-"/>
      <w:lvlJc w:val="left"/>
      <w:pPr>
        <w:tabs>
          <w:tab w:val="num" w:pos="5040"/>
        </w:tabs>
        <w:ind w:left="5040" w:hanging="360"/>
      </w:pPr>
      <w:rPr>
        <w:rFonts w:ascii="Times New Roman" w:hAnsi="Times New Roman" w:hint="default"/>
      </w:rPr>
    </w:lvl>
    <w:lvl w:ilvl="7" w:tplc="7B68C862" w:tentative="1">
      <w:start w:val="1"/>
      <w:numFmt w:val="bullet"/>
      <w:lvlText w:val="-"/>
      <w:lvlJc w:val="left"/>
      <w:pPr>
        <w:tabs>
          <w:tab w:val="num" w:pos="5760"/>
        </w:tabs>
        <w:ind w:left="5760" w:hanging="360"/>
      </w:pPr>
      <w:rPr>
        <w:rFonts w:ascii="Times New Roman" w:hAnsi="Times New Roman" w:hint="default"/>
      </w:rPr>
    </w:lvl>
    <w:lvl w:ilvl="8" w:tplc="F55C62E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7A4B67"/>
    <w:multiLevelType w:val="multilevel"/>
    <w:tmpl w:val="108C1D7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7">
    <w:nsid w:val="680B3F08"/>
    <w:multiLevelType w:val="hybridMultilevel"/>
    <w:tmpl w:val="C66C944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E910CD9"/>
    <w:multiLevelType w:val="hybridMultilevel"/>
    <w:tmpl w:val="0D60568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8EC38E8"/>
    <w:multiLevelType w:val="hybridMultilevel"/>
    <w:tmpl w:val="DB56FC68"/>
    <w:lvl w:ilvl="0" w:tplc="C3C053B0">
      <w:start w:val="1"/>
      <w:numFmt w:val="bullet"/>
      <w:lvlText w:val=""/>
      <w:lvlJc w:val="left"/>
      <w:pPr>
        <w:tabs>
          <w:tab w:val="num" w:pos="720"/>
        </w:tabs>
        <w:ind w:left="720" w:hanging="360"/>
      </w:pPr>
      <w:rPr>
        <w:rFonts w:ascii="Symbol" w:hAnsi="Symbol" w:hint="default"/>
      </w:rPr>
    </w:lvl>
    <w:lvl w:ilvl="1" w:tplc="A5D2F62A" w:tentative="1">
      <w:start w:val="1"/>
      <w:numFmt w:val="bullet"/>
      <w:lvlText w:val="-"/>
      <w:lvlJc w:val="left"/>
      <w:pPr>
        <w:tabs>
          <w:tab w:val="num" w:pos="1440"/>
        </w:tabs>
        <w:ind w:left="1440" w:hanging="360"/>
      </w:pPr>
      <w:rPr>
        <w:rFonts w:ascii="Times New Roman" w:hAnsi="Times New Roman" w:hint="default"/>
      </w:rPr>
    </w:lvl>
    <w:lvl w:ilvl="2" w:tplc="5100D6FE" w:tentative="1">
      <w:start w:val="1"/>
      <w:numFmt w:val="bullet"/>
      <w:lvlText w:val="-"/>
      <w:lvlJc w:val="left"/>
      <w:pPr>
        <w:tabs>
          <w:tab w:val="num" w:pos="2160"/>
        </w:tabs>
        <w:ind w:left="2160" w:hanging="360"/>
      </w:pPr>
      <w:rPr>
        <w:rFonts w:ascii="Times New Roman" w:hAnsi="Times New Roman" w:hint="default"/>
      </w:rPr>
    </w:lvl>
    <w:lvl w:ilvl="3" w:tplc="50869B22" w:tentative="1">
      <w:start w:val="1"/>
      <w:numFmt w:val="bullet"/>
      <w:lvlText w:val="-"/>
      <w:lvlJc w:val="left"/>
      <w:pPr>
        <w:tabs>
          <w:tab w:val="num" w:pos="2880"/>
        </w:tabs>
        <w:ind w:left="2880" w:hanging="360"/>
      </w:pPr>
      <w:rPr>
        <w:rFonts w:ascii="Times New Roman" w:hAnsi="Times New Roman" w:hint="default"/>
      </w:rPr>
    </w:lvl>
    <w:lvl w:ilvl="4" w:tplc="11A2CE74" w:tentative="1">
      <w:start w:val="1"/>
      <w:numFmt w:val="bullet"/>
      <w:lvlText w:val="-"/>
      <w:lvlJc w:val="left"/>
      <w:pPr>
        <w:tabs>
          <w:tab w:val="num" w:pos="3600"/>
        </w:tabs>
        <w:ind w:left="3600" w:hanging="360"/>
      </w:pPr>
      <w:rPr>
        <w:rFonts w:ascii="Times New Roman" w:hAnsi="Times New Roman" w:hint="default"/>
      </w:rPr>
    </w:lvl>
    <w:lvl w:ilvl="5" w:tplc="EC144C0A" w:tentative="1">
      <w:start w:val="1"/>
      <w:numFmt w:val="bullet"/>
      <w:lvlText w:val="-"/>
      <w:lvlJc w:val="left"/>
      <w:pPr>
        <w:tabs>
          <w:tab w:val="num" w:pos="4320"/>
        </w:tabs>
        <w:ind w:left="4320" w:hanging="360"/>
      </w:pPr>
      <w:rPr>
        <w:rFonts w:ascii="Times New Roman" w:hAnsi="Times New Roman" w:hint="default"/>
      </w:rPr>
    </w:lvl>
    <w:lvl w:ilvl="6" w:tplc="924AB796" w:tentative="1">
      <w:start w:val="1"/>
      <w:numFmt w:val="bullet"/>
      <w:lvlText w:val="-"/>
      <w:lvlJc w:val="left"/>
      <w:pPr>
        <w:tabs>
          <w:tab w:val="num" w:pos="5040"/>
        </w:tabs>
        <w:ind w:left="5040" w:hanging="360"/>
      </w:pPr>
      <w:rPr>
        <w:rFonts w:ascii="Times New Roman" w:hAnsi="Times New Roman" w:hint="default"/>
      </w:rPr>
    </w:lvl>
    <w:lvl w:ilvl="7" w:tplc="7B68C862" w:tentative="1">
      <w:start w:val="1"/>
      <w:numFmt w:val="bullet"/>
      <w:lvlText w:val="-"/>
      <w:lvlJc w:val="left"/>
      <w:pPr>
        <w:tabs>
          <w:tab w:val="num" w:pos="5760"/>
        </w:tabs>
        <w:ind w:left="5760" w:hanging="360"/>
      </w:pPr>
      <w:rPr>
        <w:rFonts w:ascii="Times New Roman" w:hAnsi="Times New Roman" w:hint="default"/>
      </w:rPr>
    </w:lvl>
    <w:lvl w:ilvl="8" w:tplc="F55C62E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7F4A96"/>
    <w:multiLevelType w:val="hybridMultilevel"/>
    <w:tmpl w:val="50E2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6"/>
  </w:num>
  <w:num w:numId="4">
    <w:abstractNumId w:val="19"/>
  </w:num>
  <w:num w:numId="5">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6">
    <w:abstractNumId w:val="12"/>
  </w:num>
  <w:num w:numId="7">
    <w:abstractNumId w:val="8"/>
  </w:num>
  <w:num w:numId="8">
    <w:abstractNumId w:val="9"/>
  </w:num>
  <w:num w:numId="9">
    <w:abstractNumId w:val="4"/>
  </w:num>
  <w:num w:numId="10">
    <w:abstractNumId w:val="11"/>
  </w:num>
  <w:num w:numId="11">
    <w:abstractNumId w:val="17"/>
  </w:num>
  <w:num w:numId="12">
    <w:abstractNumId w:val="18"/>
  </w:num>
  <w:num w:numId="13">
    <w:abstractNumId w:val="7"/>
  </w:num>
  <w:num w:numId="14">
    <w:abstractNumId w:val="10"/>
  </w:num>
  <w:num w:numId="15">
    <w:abstractNumId w:val="1"/>
  </w:num>
  <w:num w:numId="16">
    <w:abstractNumId w:val="6"/>
  </w:num>
  <w:num w:numId="17">
    <w:abstractNumId w:val="3"/>
  </w:num>
  <w:num w:numId="18">
    <w:abstractNumId w:val="5"/>
  </w:num>
  <w:num w:numId="19">
    <w:abstractNumId w:val="2"/>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98"/>
    <w:rsid w:val="000018A6"/>
    <w:rsid w:val="00017E4E"/>
    <w:rsid w:val="00020603"/>
    <w:rsid w:val="00024199"/>
    <w:rsid w:val="00042AF8"/>
    <w:rsid w:val="00045ADA"/>
    <w:rsid w:val="00051D0B"/>
    <w:rsid w:val="00051FA6"/>
    <w:rsid w:val="00057ADF"/>
    <w:rsid w:val="00057CF5"/>
    <w:rsid w:val="00066A88"/>
    <w:rsid w:val="00084D41"/>
    <w:rsid w:val="0008675A"/>
    <w:rsid w:val="00086BD9"/>
    <w:rsid w:val="00091767"/>
    <w:rsid w:val="00094DD1"/>
    <w:rsid w:val="00097D3E"/>
    <w:rsid w:val="000B0E39"/>
    <w:rsid w:val="000B586D"/>
    <w:rsid w:val="000D0874"/>
    <w:rsid w:val="000E21A1"/>
    <w:rsid w:val="000E630E"/>
    <w:rsid w:val="000F1734"/>
    <w:rsid w:val="00100A30"/>
    <w:rsid w:val="00101474"/>
    <w:rsid w:val="00102EED"/>
    <w:rsid w:val="0010632D"/>
    <w:rsid w:val="0011248F"/>
    <w:rsid w:val="0012123F"/>
    <w:rsid w:val="0012166A"/>
    <w:rsid w:val="00123751"/>
    <w:rsid w:val="00144C9C"/>
    <w:rsid w:val="00151C0C"/>
    <w:rsid w:val="00162A05"/>
    <w:rsid w:val="00167034"/>
    <w:rsid w:val="001704C4"/>
    <w:rsid w:val="001724C7"/>
    <w:rsid w:val="00173ECB"/>
    <w:rsid w:val="00177D20"/>
    <w:rsid w:val="001809C4"/>
    <w:rsid w:val="0018183E"/>
    <w:rsid w:val="00185D0A"/>
    <w:rsid w:val="001974F7"/>
    <w:rsid w:val="001A0611"/>
    <w:rsid w:val="001B4A98"/>
    <w:rsid w:val="001C16BE"/>
    <w:rsid w:val="001C2D65"/>
    <w:rsid w:val="001C2D7E"/>
    <w:rsid w:val="001C66B7"/>
    <w:rsid w:val="001E13AE"/>
    <w:rsid w:val="001E2E20"/>
    <w:rsid w:val="0021433E"/>
    <w:rsid w:val="00214DC9"/>
    <w:rsid w:val="00224F5B"/>
    <w:rsid w:val="00226B47"/>
    <w:rsid w:val="00226D5A"/>
    <w:rsid w:val="0023494D"/>
    <w:rsid w:val="00242E3D"/>
    <w:rsid w:val="00243292"/>
    <w:rsid w:val="00245379"/>
    <w:rsid w:val="0024549D"/>
    <w:rsid w:val="00245884"/>
    <w:rsid w:val="00245DC2"/>
    <w:rsid w:val="00247551"/>
    <w:rsid w:val="00260C20"/>
    <w:rsid w:val="00261F03"/>
    <w:rsid w:val="00270BA0"/>
    <w:rsid w:val="00272C26"/>
    <w:rsid w:val="00273887"/>
    <w:rsid w:val="002745CC"/>
    <w:rsid w:val="002766B1"/>
    <w:rsid w:val="00282B63"/>
    <w:rsid w:val="0028346E"/>
    <w:rsid w:val="00291198"/>
    <w:rsid w:val="0029167E"/>
    <w:rsid w:val="002A1E1C"/>
    <w:rsid w:val="002A4D5F"/>
    <w:rsid w:val="002A57F4"/>
    <w:rsid w:val="002B7A9E"/>
    <w:rsid w:val="002B7F43"/>
    <w:rsid w:val="002C4001"/>
    <w:rsid w:val="002C4C60"/>
    <w:rsid w:val="002C7764"/>
    <w:rsid w:val="002D1B90"/>
    <w:rsid w:val="002D46E9"/>
    <w:rsid w:val="002D5542"/>
    <w:rsid w:val="002D65D0"/>
    <w:rsid w:val="002E2F5D"/>
    <w:rsid w:val="002E4869"/>
    <w:rsid w:val="002F34EA"/>
    <w:rsid w:val="002F6D92"/>
    <w:rsid w:val="002F76B7"/>
    <w:rsid w:val="002F7D8F"/>
    <w:rsid w:val="00312400"/>
    <w:rsid w:val="00317A97"/>
    <w:rsid w:val="003214E2"/>
    <w:rsid w:val="00322C95"/>
    <w:rsid w:val="003345B1"/>
    <w:rsid w:val="00336E98"/>
    <w:rsid w:val="003455E5"/>
    <w:rsid w:val="00353508"/>
    <w:rsid w:val="00353E53"/>
    <w:rsid w:val="0035654A"/>
    <w:rsid w:val="00372496"/>
    <w:rsid w:val="00372F3C"/>
    <w:rsid w:val="00377144"/>
    <w:rsid w:val="003933F1"/>
    <w:rsid w:val="00395F94"/>
    <w:rsid w:val="003B247B"/>
    <w:rsid w:val="003C1E6A"/>
    <w:rsid w:val="003C35FE"/>
    <w:rsid w:val="003C3E71"/>
    <w:rsid w:val="003C5001"/>
    <w:rsid w:val="003D0A0C"/>
    <w:rsid w:val="003D0B4C"/>
    <w:rsid w:val="003D12D6"/>
    <w:rsid w:val="003F4404"/>
    <w:rsid w:val="003F44C2"/>
    <w:rsid w:val="003F4624"/>
    <w:rsid w:val="004034A6"/>
    <w:rsid w:val="00414229"/>
    <w:rsid w:val="004167C1"/>
    <w:rsid w:val="00430CE3"/>
    <w:rsid w:val="004334F9"/>
    <w:rsid w:val="00433DA0"/>
    <w:rsid w:val="00441C91"/>
    <w:rsid w:val="00455086"/>
    <w:rsid w:val="0046697D"/>
    <w:rsid w:val="0048387C"/>
    <w:rsid w:val="00490C4E"/>
    <w:rsid w:val="004938E1"/>
    <w:rsid w:val="004A2B77"/>
    <w:rsid w:val="004A7A47"/>
    <w:rsid w:val="004B46C6"/>
    <w:rsid w:val="004B73EF"/>
    <w:rsid w:val="004C427B"/>
    <w:rsid w:val="004D23BC"/>
    <w:rsid w:val="004F4EDF"/>
    <w:rsid w:val="00502673"/>
    <w:rsid w:val="00507A5A"/>
    <w:rsid w:val="00516EC0"/>
    <w:rsid w:val="005228F2"/>
    <w:rsid w:val="00523C93"/>
    <w:rsid w:val="00526347"/>
    <w:rsid w:val="0052680A"/>
    <w:rsid w:val="00527D40"/>
    <w:rsid w:val="00537209"/>
    <w:rsid w:val="0054612F"/>
    <w:rsid w:val="00546455"/>
    <w:rsid w:val="00554063"/>
    <w:rsid w:val="005548F0"/>
    <w:rsid w:val="00554CE2"/>
    <w:rsid w:val="0056523B"/>
    <w:rsid w:val="0056568D"/>
    <w:rsid w:val="00575265"/>
    <w:rsid w:val="005765A9"/>
    <w:rsid w:val="00576CF9"/>
    <w:rsid w:val="00577010"/>
    <w:rsid w:val="00590444"/>
    <w:rsid w:val="00590775"/>
    <w:rsid w:val="00595691"/>
    <w:rsid w:val="005A00B0"/>
    <w:rsid w:val="005A18FA"/>
    <w:rsid w:val="005A4D3B"/>
    <w:rsid w:val="005A72B6"/>
    <w:rsid w:val="005B2723"/>
    <w:rsid w:val="005B5FBA"/>
    <w:rsid w:val="005B74A3"/>
    <w:rsid w:val="005C2672"/>
    <w:rsid w:val="005C576B"/>
    <w:rsid w:val="005C79EA"/>
    <w:rsid w:val="005D771C"/>
    <w:rsid w:val="005F41A7"/>
    <w:rsid w:val="006049BB"/>
    <w:rsid w:val="00613762"/>
    <w:rsid w:val="006204A2"/>
    <w:rsid w:val="006228DA"/>
    <w:rsid w:val="00632BCF"/>
    <w:rsid w:val="00635EBF"/>
    <w:rsid w:val="00641E2D"/>
    <w:rsid w:val="0065226C"/>
    <w:rsid w:val="00653C6A"/>
    <w:rsid w:val="00655AA3"/>
    <w:rsid w:val="00665D23"/>
    <w:rsid w:val="006716B6"/>
    <w:rsid w:val="00676999"/>
    <w:rsid w:val="006801F9"/>
    <w:rsid w:val="006809A5"/>
    <w:rsid w:val="00687575"/>
    <w:rsid w:val="006909A1"/>
    <w:rsid w:val="006A663E"/>
    <w:rsid w:val="006D4F07"/>
    <w:rsid w:val="006D727D"/>
    <w:rsid w:val="006E28C0"/>
    <w:rsid w:val="006F162C"/>
    <w:rsid w:val="006F5662"/>
    <w:rsid w:val="00721BB1"/>
    <w:rsid w:val="00723DEC"/>
    <w:rsid w:val="00725D76"/>
    <w:rsid w:val="007262D9"/>
    <w:rsid w:val="007306B6"/>
    <w:rsid w:val="0073448E"/>
    <w:rsid w:val="00743C79"/>
    <w:rsid w:val="00745EED"/>
    <w:rsid w:val="0074672F"/>
    <w:rsid w:val="0075686D"/>
    <w:rsid w:val="007570AC"/>
    <w:rsid w:val="00757EEB"/>
    <w:rsid w:val="00765C5C"/>
    <w:rsid w:val="00772527"/>
    <w:rsid w:val="00774E81"/>
    <w:rsid w:val="00776AB7"/>
    <w:rsid w:val="00782E3C"/>
    <w:rsid w:val="00783A29"/>
    <w:rsid w:val="0078496A"/>
    <w:rsid w:val="00790944"/>
    <w:rsid w:val="00790B3C"/>
    <w:rsid w:val="007959C6"/>
    <w:rsid w:val="007B0E57"/>
    <w:rsid w:val="007B0EC8"/>
    <w:rsid w:val="007B403D"/>
    <w:rsid w:val="007D3A8C"/>
    <w:rsid w:val="007E0ADF"/>
    <w:rsid w:val="007E1468"/>
    <w:rsid w:val="007E2805"/>
    <w:rsid w:val="007E61D8"/>
    <w:rsid w:val="007E7B4D"/>
    <w:rsid w:val="007F1964"/>
    <w:rsid w:val="007F765D"/>
    <w:rsid w:val="00801A79"/>
    <w:rsid w:val="0080548F"/>
    <w:rsid w:val="00821897"/>
    <w:rsid w:val="00823894"/>
    <w:rsid w:val="00830CC7"/>
    <w:rsid w:val="008326D9"/>
    <w:rsid w:val="00843DD3"/>
    <w:rsid w:val="008571DB"/>
    <w:rsid w:val="0086033D"/>
    <w:rsid w:val="008663CA"/>
    <w:rsid w:val="0086727E"/>
    <w:rsid w:val="00872094"/>
    <w:rsid w:val="00877A48"/>
    <w:rsid w:val="008802BF"/>
    <w:rsid w:val="00880921"/>
    <w:rsid w:val="00885A48"/>
    <w:rsid w:val="008A309D"/>
    <w:rsid w:val="008A64A0"/>
    <w:rsid w:val="008A6860"/>
    <w:rsid w:val="008A72AF"/>
    <w:rsid w:val="008B1589"/>
    <w:rsid w:val="008B319B"/>
    <w:rsid w:val="008B4815"/>
    <w:rsid w:val="008C02EB"/>
    <w:rsid w:val="008C298E"/>
    <w:rsid w:val="008C4FF0"/>
    <w:rsid w:val="008D0CE8"/>
    <w:rsid w:val="008D0EE0"/>
    <w:rsid w:val="008D3F2C"/>
    <w:rsid w:val="008D7F4B"/>
    <w:rsid w:val="008E0014"/>
    <w:rsid w:val="008E6ABE"/>
    <w:rsid w:val="008E6E48"/>
    <w:rsid w:val="008E7AD2"/>
    <w:rsid w:val="009077BC"/>
    <w:rsid w:val="009123B0"/>
    <w:rsid w:val="00913F94"/>
    <w:rsid w:val="009140EA"/>
    <w:rsid w:val="00920F87"/>
    <w:rsid w:val="00924AD5"/>
    <w:rsid w:val="009318A1"/>
    <w:rsid w:val="00933706"/>
    <w:rsid w:val="00934707"/>
    <w:rsid w:val="00935C4E"/>
    <w:rsid w:val="009473B9"/>
    <w:rsid w:val="009515DC"/>
    <w:rsid w:val="00953AC7"/>
    <w:rsid w:val="00954339"/>
    <w:rsid w:val="00955EAF"/>
    <w:rsid w:val="00960733"/>
    <w:rsid w:val="00964219"/>
    <w:rsid w:val="009675D8"/>
    <w:rsid w:val="0097485D"/>
    <w:rsid w:val="00976BB4"/>
    <w:rsid w:val="00977EA9"/>
    <w:rsid w:val="00983072"/>
    <w:rsid w:val="00983E65"/>
    <w:rsid w:val="00991073"/>
    <w:rsid w:val="0099126A"/>
    <w:rsid w:val="00996F69"/>
    <w:rsid w:val="009A05B8"/>
    <w:rsid w:val="009A0CB7"/>
    <w:rsid w:val="009A19B5"/>
    <w:rsid w:val="009A573D"/>
    <w:rsid w:val="009B03D6"/>
    <w:rsid w:val="009B1DFC"/>
    <w:rsid w:val="009C4492"/>
    <w:rsid w:val="009D0559"/>
    <w:rsid w:val="009D405B"/>
    <w:rsid w:val="009E2158"/>
    <w:rsid w:val="009F524C"/>
    <w:rsid w:val="009F634A"/>
    <w:rsid w:val="00A00624"/>
    <w:rsid w:val="00A04C14"/>
    <w:rsid w:val="00A15E82"/>
    <w:rsid w:val="00A250C0"/>
    <w:rsid w:val="00A27C2B"/>
    <w:rsid w:val="00A31CD9"/>
    <w:rsid w:val="00A37062"/>
    <w:rsid w:val="00A43E0E"/>
    <w:rsid w:val="00A63A88"/>
    <w:rsid w:val="00A66E58"/>
    <w:rsid w:val="00A71116"/>
    <w:rsid w:val="00A713D5"/>
    <w:rsid w:val="00A7333F"/>
    <w:rsid w:val="00A849D5"/>
    <w:rsid w:val="00A87B0A"/>
    <w:rsid w:val="00A94BD5"/>
    <w:rsid w:val="00AA4A0E"/>
    <w:rsid w:val="00AA4AF5"/>
    <w:rsid w:val="00AB194E"/>
    <w:rsid w:val="00AB68D5"/>
    <w:rsid w:val="00AC4B0A"/>
    <w:rsid w:val="00AC5DBA"/>
    <w:rsid w:val="00AC6713"/>
    <w:rsid w:val="00AD73D0"/>
    <w:rsid w:val="00AD7481"/>
    <w:rsid w:val="00AD7864"/>
    <w:rsid w:val="00AE0CD7"/>
    <w:rsid w:val="00AE219C"/>
    <w:rsid w:val="00AF6EA9"/>
    <w:rsid w:val="00B00CA8"/>
    <w:rsid w:val="00B02DA8"/>
    <w:rsid w:val="00B07E75"/>
    <w:rsid w:val="00B10971"/>
    <w:rsid w:val="00B10E93"/>
    <w:rsid w:val="00B10F4D"/>
    <w:rsid w:val="00B31E41"/>
    <w:rsid w:val="00B3240B"/>
    <w:rsid w:val="00B369DC"/>
    <w:rsid w:val="00B44DC0"/>
    <w:rsid w:val="00B4628F"/>
    <w:rsid w:val="00B52A23"/>
    <w:rsid w:val="00B758C2"/>
    <w:rsid w:val="00B8186A"/>
    <w:rsid w:val="00B82F43"/>
    <w:rsid w:val="00B87E85"/>
    <w:rsid w:val="00B933CA"/>
    <w:rsid w:val="00B971C5"/>
    <w:rsid w:val="00BA2509"/>
    <w:rsid w:val="00BA6BC0"/>
    <w:rsid w:val="00BB019C"/>
    <w:rsid w:val="00BB5206"/>
    <w:rsid w:val="00BB6DCA"/>
    <w:rsid w:val="00BC1BA8"/>
    <w:rsid w:val="00BD2F4C"/>
    <w:rsid w:val="00BE0C90"/>
    <w:rsid w:val="00C0715B"/>
    <w:rsid w:val="00C13DE2"/>
    <w:rsid w:val="00C23442"/>
    <w:rsid w:val="00C23F1A"/>
    <w:rsid w:val="00C2461E"/>
    <w:rsid w:val="00C26EDD"/>
    <w:rsid w:val="00C3245A"/>
    <w:rsid w:val="00C327B6"/>
    <w:rsid w:val="00C342E8"/>
    <w:rsid w:val="00C3658D"/>
    <w:rsid w:val="00C454C5"/>
    <w:rsid w:val="00C47DF0"/>
    <w:rsid w:val="00C6158E"/>
    <w:rsid w:val="00C63B67"/>
    <w:rsid w:val="00C657B0"/>
    <w:rsid w:val="00C734E1"/>
    <w:rsid w:val="00C81DF6"/>
    <w:rsid w:val="00C829CC"/>
    <w:rsid w:val="00C82B6A"/>
    <w:rsid w:val="00C82C9A"/>
    <w:rsid w:val="00C82E5A"/>
    <w:rsid w:val="00C8469C"/>
    <w:rsid w:val="00C90844"/>
    <w:rsid w:val="00C90B51"/>
    <w:rsid w:val="00C94588"/>
    <w:rsid w:val="00C96347"/>
    <w:rsid w:val="00CA21DE"/>
    <w:rsid w:val="00CA2DE6"/>
    <w:rsid w:val="00CA2EA5"/>
    <w:rsid w:val="00CA3167"/>
    <w:rsid w:val="00CA6109"/>
    <w:rsid w:val="00CB2966"/>
    <w:rsid w:val="00CC0FB1"/>
    <w:rsid w:val="00CD5DE3"/>
    <w:rsid w:val="00CD6908"/>
    <w:rsid w:val="00CE1781"/>
    <w:rsid w:val="00CE4E10"/>
    <w:rsid w:val="00CE610A"/>
    <w:rsid w:val="00CF1C69"/>
    <w:rsid w:val="00CF78DC"/>
    <w:rsid w:val="00CF792D"/>
    <w:rsid w:val="00D06A9A"/>
    <w:rsid w:val="00D20A5A"/>
    <w:rsid w:val="00D30DBE"/>
    <w:rsid w:val="00D31437"/>
    <w:rsid w:val="00D359E7"/>
    <w:rsid w:val="00D52ED3"/>
    <w:rsid w:val="00D57D85"/>
    <w:rsid w:val="00D64D02"/>
    <w:rsid w:val="00D655AA"/>
    <w:rsid w:val="00D66163"/>
    <w:rsid w:val="00D67E4E"/>
    <w:rsid w:val="00D67EEA"/>
    <w:rsid w:val="00D9215C"/>
    <w:rsid w:val="00DA5A5E"/>
    <w:rsid w:val="00DA5A61"/>
    <w:rsid w:val="00DB27C9"/>
    <w:rsid w:val="00DB5C03"/>
    <w:rsid w:val="00DB6563"/>
    <w:rsid w:val="00DC094D"/>
    <w:rsid w:val="00DC1A84"/>
    <w:rsid w:val="00DC331A"/>
    <w:rsid w:val="00DC45E8"/>
    <w:rsid w:val="00DC5BDE"/>
    <w:rsid w:val="00DD20FF"/>
    <w:rsid w:val="00DD22CF"/>
    <w:rsid w:val="00DD51DC"/>
    <w:rsid w:val="00DD6BEA"/>
    <w:rsid w:val="00DE07DF"/>
    <w:rsid w:val="00DE5489"/>
    <w:rsid w:val="00DF4995"/>
    <w:rsid w:val="00DF74F0"/>
    <w:rsid w:val="00E00682"/>
    <w:rsid w:val="00E02EBE"/>
    <w:rsid w:val="00E071ED"/>
    <w:rsid w:val="00E10513"/>
    <w:rsid w:val="00E11C49"/>
    <w:rsid w:val="00E140F6"/>
    <w:rsid w:val="00E150C0"/>
    <w:rsid w:val="00E24CF0"/>
    <w:rsid w:val="00E279B4"/>
    <w:rsid w:val="00E27B54"/>
    <w:rsid w:val="00E332C6"/>
    <w:rsid w:val="00E46F25"/>
    <w:rsid w:val="00E47EC8"/>
    <w:rsid w:val="00E52CDE"/>
    <w:rsid w:val="00E63654"/>
    <w:rsid w:val="00E659BD"/>
    <w:rsid w:val="00E713A2"/>
    <w:rsid w:val="00E74D3E"/>
    <w:rsid w:val="00E773AC"/>
    <w:rsid w:val="00E80B0B"/>
    <w:rsid w:val="00E902FD"/>
    <w:rsid w:val="00E942CE"/>
    <w:rsid w:val="00E94866"/>
    <w:rsid w:val="00E9568D"/>
    <w:rsid w:val="00E97BA7"/>
    <w:rsid w:val="00EA0186"/>
    <w:rsid w:val="00EA3F7B"/>
    <w:rsid w:val="00EA472D"/>
    <w:rsid w:val="00EB2291"/>
    <w:rsid w:val="00EC2C15"/>
    <w:rsid w:val="00ED5C42"/>
    <w:rsid w:val="00EE35BE"/>
    <w:rsid w:val="00EE396F"/>
    <w:rsid w:val="00EE3C15"/>
    <w:rsid w:val="00F013C2"/>
    <w:rsid w:val="00F02A4F"/>
    <w:rsid w:val="00F0613A"/>
    <w:rsid w:val="00F212F2"/>
    <w:rsid w:val="00F21BFF"/>
    <w:rsid w:val="00F21D7D"/>
    <w:rsid w:val="00F248DA"/>
    <w:rsid w:val="00F2701F"/>
    <w:rsid w:val="00F40BD6"/>
    <w:rsid w:val="00F4121F"/>
    <w:rsid w:val="00F4179D"/>
    <w:rsid w:val="00F425F4"/>
    <w:rsid w:val="00F54603"/>
    <w:rsid w:val="00F61245"/>
    <w:rsid w:val="00F61878"/>
    <w:rsid w:val="00F7282D"/>
    <w:rsid w:val="00F73FB6"/>
    <w:rsid w:val="00F754C5"/>
    <w:rsid w:val="00F77993"/>
    <w:rsid w:val="00F77D85"/>
    <w:rsid w:val="00F80E19"/>
    <w:rsid w:val="00F81CB5"/>
    <w:rsid w:val="00F85616"/>
    <w:rsid w:val="00F94725"/>
    <w:rsid w:val="00F95B0B"/>
    <w:rsid w:val="00F972EF"/>
    <w:rsid w:val="00F976AD"/>
    <w:rsid w:val="00FA0863"/>
    <w:rsid w:val="00FA13EE"/>
    <w:rsid w:val="00FA1B12"/>
    <w:rsid w:val="00FB1A20"/>
    <w:rsid w:val="00FC1A90"/>
    <w:rsid w:val="00FC3B2E"/>
    <w:rsid w:val="00FC6FC0"/>
    <w:rsid w:val="00FD5322"/>
    <w:rsid w:val="00FE1F09"/>
    <w:rsid w:val="00FE3177"/>
    <w:rsid w:val="00FE41B0"/>
    <w:rsid w:val="00FF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2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A48"/>
    <w:rPr>
      <w:sz w:val="24"/>
      <w:szCs w:val="24"/>
    </w:rPr>
  </w:style>
  <w:style w:type="paragraph" w:styleId="Heading1">
    <w:name w:val="heading 1"/>
    <w:basedOn w:val="Normal"/>
    <w:next w:val="Normal"/>
    <w:link w:val="Heading1Char"/>
    <w:qFormat/>
    <w:rsid w:val="00AF6EA9"/>
    <w:pPr>
      <w:keepNext/>
      <w:jc w:val="both"/>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6EA9"/>
    <w:rPr>
      <w:sz w:val="24"/>
      <w:u w:val="single"/>
    </w:rPr>
  </w:style>
  <w:style w:type="paragraph" w:styleId="BodyText">
    <w:name w:val="Body Text"/>
    <w:basedOn w:val="Normal"/>
    <w:link w:val="BodyTextChar"/>
    <w:rsid w:val="00AF6EA9"/>
    <w:pPr>
      <w:jc w:val="both"/>
    </w:pPr>
    <w:rPr>
      <w:szCs w:val="20"/>
    </w:rPr>
  </w:style>
  <w:style w:type="paragraph" w:styleId="EnvelopeAddress">
    <w:name w:val="envelope address"/>
    <w:basedOn w:val="Normal"/>
    <w:rsid w:val="00885A48"/>
    <w:pPr>
      <w:framePr w:w="7920" w:h="1980" w:hRule="exact" w:hSpace="180" w:wrap="auto" w:hAnchor="page" w:xAlign="center" w:yAlign="bottom"/>
      <w:ind w:left="2880"/>
    </w:pPr>
    <w:rPr>
      <w:rFonts w:cs="Arial"/>
    </w:rPr>
  </w:style>
  <w:style w:type="character" w:customStyle="1" w:styleId="BodyTextChar">
    <w:name w:val="Body Text Char"/>
    <w:link w:val="BodyText"/>
    <w:rsid w:val="00AF6EA9"/>
    <w:rPr>
      <w:sz w:val="24"/>
    </w:rPr>
  </w:style>
  <w:style w:type="paragraph" w:styleId="Header">
    <w:name w:val="header"/>
    <w:basedOn w:val="Normal"/>
    <w:link w:val="HeaderChar"/>
    <w:rsid w:val="006A663E"/>
    <w:pPr>
      <w:tabs>
        <w:tab w:val="center" w:pos="4680"/>
        <w:tab w:val="right" w:pos="9360"/>
      </w:tabs>
    </w:pPr>
  </w:style>
  <w:style w:type="character" w:customStyle="1" w:styleId="HeaderChar">
    <w:name w:val="Header Char"/>
    <w:link w:val="Header"/>
    <w:rsid w:val="006A663E"/>
    <w:rPr>
      <w:sz w:val="24"/>
      <w:szCs w:val="24"/>
    </w:rPr>
  </w:style>
  <w:style w:type="paragraph" w:styleId="Footer">
    <w:name w:val="footer"/>
    <w:basedOn w:val="Normal"/>
    <w:link w:val="FooterChar"/>
    <w:uiPriority w:val="99"/>
    <w:rsid w:val="006A663E"/>
    <w:pPr>
      <w:tabs>
        <w:tab w:val="center" w:pos="4680"/>
        <w:tab w:val="right" w:pos="9360"/>
      </w:tabs>
    </w:pPr>
  </w:style>
  <w:style w:type="character" w:customStyle="1" w:styleId="FooterChar">
    <w:name w:val="Footer Char"/>
    <w:link w:val="Footer"/>
    <w:uiPriority w:val="99"/>
    <w:rsid w:val="006A663E"/>
    <w:rPr>
      <w:sz w:val="24"/>
      <w:szCs w:val="24"/>
    </w:rPr>
  </w:style>
  <w:style w:type="paragraph" w:styleId="BalloonText">
    <w:name w:val="Balloon Text"/>
    <w:basedOn w:val="Normal"/>
    <w:link w:val="BalloonTextChar"/>
    <w:rsid w:val="00C8469C"/>
    <w:rPr>
      <w:rFonts w:ascii="Tahoma" w:hAnsi="Tahoma"/>
      <w:sz w:val="16"/>
      <w:szCs w:val="16"/>
    </w:rPr>
  </w:style>
  <w:style w:type="character" w:customStyle="1" w:styleId="BalloonTextChar">
    <w:name w:val="Balloon Text Char"/>
    <w:link w:val="BalloonText"/>
    <w:rsid w:val="00C8469C"/>
    <w:rPr>
      <w:rFonts w:ascii="Tahoma" w:hAnsi="Tahoma" w:cs="Tahoma"/>
      <w:sz w:val="16"/>
      <w:szCs w:val="16"/>
    </w:rPr>
  </w:style>
  <w:style w:type="character" w:styleId="Hyperlink">
    <w:name w:val="Hyperlink"/>
    <w:basedOn w:val="DefaultParagraphFont"/>
    <w:rsid w:val="003933F1"/>
    <w:rPr>
      <w:color w:val="0000FF"/>
      <w:u w:val="single"/>
    </w:rPr>
  </w:style>
  <w:style w:type="paragraph" w:styleId="ListParagraph">
    <w:name w:val="List Paragraph"/>
    <w:basedOn w:val="Normal"/>
    <w:uiPriority w:val="34"/>
    <w:qFormat/>
    <w:rsid w:val="003933F1"/>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A48"/>
    <w:rPr>
      <w:sz w:val="24"/>
      <w:szCs w:val="24"/>
    </w:rPr>
  </w:style>
  <w:style w:type="paragraph" w:styleId="Heading1">
    <w:name w:val="heading 1"/>
    <w:basedOn w:val="Normal"/>
    <w:next w:val="Normal"/>
    <w:link w:val="Heading1Char"/>
    <w:qFormat/>
    <w:rsid w:val="00AF6EA9"/>
    <w:pPr>
      <w:keepNext/>
      <w:jc w:val="both"/>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6EA9"/>
    <w:rPr>
      <w:sz w:val="24"/>
      <w:u w:val="single"/>
    </w:rPr>
  </w:style>
  <w:style w:type="paragraph" w:styleId="BodyText">
    <w:name w:val="Body Text"/>
    <w:basedOn w:val="Normal"/>
    <w:link w:val="BodyTextChar"/>
    <w:rsid w:val="00AF6EA9"/>
    <w:pPr>
      <w:jc w:val="both"/>
    </w:pPr>
    <w:rPr>
      <w:szCs w:val="20"/>
    </w:rPr>
  </w:style>
  <w:style w:type="paragraph" w:styleId="EnvelopeAddress">
    <w:name w:val="envelope address"/>
    <w:basedOn w:val="Normal"/>
    <w:rsid w:val="00885A48"/>
    <w:pPr>
      <w:framePr w:w="7920" w:h="1980" w:hRule="exact" w:hSpace="180" w:wrap="auto" w:hAnchor="page" w:xAlign="center" w:yAlign="bottom"/>
      <w:ind w:left="2880"/>
    </w:pPr>
    <w:rPr>
      <w:rFonts w:cs="Arial"/>
    </w:rPr>
  </w:style>
  <w:style w:type="character" w:customStyle="1" w:styleId="BodyTextChar">
    <w:name w:val="Body Text Char"/>
    <w:link w:val="BodyText"/>
    <w:rsid w:val="00AF6EA9"/>
    <w:rPr>
      <w:sz w:val="24"/>
    </w:rPr>
  </w:style>
  <w:style w:type="paragraph" w:styleId="Header">
    <w:name w:val="header"/>
    <w:basedOn w:val="Normal"/>
    <w:link w:val="HeaderChar"/>
    <w:rsid w:val="006A663E"/>
    <w:pPr>
      <w:tabs>
        <w:tab w:val="center" w:pos="4680"/>
        <w:tab w:val="right" w:pos="9360"/>
      </w:tabs>
    </w:pPr>
  </w:style>
  <w:style w:type="character" w:customStyle="1" w:styleId="HeaderChar">
    <w:name w:val="Header Char"/>
    <w:link w:val="Header"/>
    <w:rsid w:val="006A663E"/>
    <w:rPr>
      <w:sz w:val="24"/>
      <w:szCs w:val="24"/>
    </w:rPr>
  </w:style>
  <w:style w:type="paragraph" w:styleId="Footer">
    <w:name w:val="footer"/>
    <w:basedOn w:val="Normal"/>
    <w:link w:val="FooterChar"/>
    <w:uiPriority w:val="99"/>
    <w:rsid w:val="006A663E"/>
    <w:pPr>
      <w:tabs>
        <w:tab w:val="center" w:pos="4680"/>
        <w:tab w:val="right" w:pos="9360"/>
      </w:tabs>
    </w:pPr>
  </w:style>
  <w:style w:type="character" w:customStyle="1" w:styleId="FooterChar">
    <w:name w:val="Footer Char"/>
    <w:link w:val="Footer"/>
    <w:uiPriority w:val="99"/>
    <w:rsid w:val="006A663E"/>
    <w:rPr>
      <w:sz w:val="24"/>
      <w:szCs w:val="24"/>
    </w:rPr>
  </w:style>
  <w:style w:type="paragraph" w:styleId="BalloonText">
    <w:name w:val="Balloon Text"/>
    <w:basedOn w:val="Normal"/>
    <w:link w:val="BalloonTextChar"/>
    <w:rsid w:val="00C8469C"/>
    <w:rPr>
      <w:rFonts w:ascii="Tahoma" w:hAnsi="Tahoma"/>
      <w:sz w:val="16"/>
      <w:szCs w:val="16"/>
    </w:rPr>
  </w:style>
  <w:style w:type="character" w:customStyle="1" w:styleId="BalloonTextChar">
    <w:name w:val="Balloon Text Char"/>
    <w:link w:val="BalloonText"/>
    <w:rsid w:val="00C8469C"/>
    <w:rPr>
      <w:rFonts w:ascii="Tahoma" w:hAnsi="Tahoma" w:cs="Tahoma"/>
      <w:sz w:val="16"/>
      <w:szCs w:val="16"/>
    </w:rPr>
  </w:style>
  <w:style w:type="character" w:styleId="Hyperlink">
    <w:name w:val="Hyperlink"/>
    <w:basedOn w:val="DefaultParagraphFont"/>
    <w:rsid w:val="003933F1"/>
    <w:rPr>
      <w:color w:val="0000FF"/>
      <w:u w:val="single"/>
    </w:rPr>
  </w:style>
  <w:style w:type="paragraph" w:styleId="ListParagraph">
    <w:name w:val="List Paragraph"/>
    <w:basedOn w:val="Normal"/>
    <w:uiPriority w:val="34"/>
    <w:qFormat/>
    <w:rsid w:val="003933F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265">
      <w:bodyDiv w:val="1"/>
      <w:marLeft w:val="0"/>
      <w:marRight w:val="0"/>
      <w:marTop w:val="0"/>
      <w:marBottom w:val="0"/>
      <w:divBdr>
        <w:top w:val="none" w:sz="0" w:space="0" w:color="auto"/>
        <w:left w:val="none" w:sz="0" w:space="0" w:color="auto"/>
        <w:bottom w:val="none" w:sz="0" w:space="0" w:color="auto"/>
        <w:right w:val="none" w:sz="0" w:space="0" w:color="auto"/>
      </w:divBdr>
      <w:divsChild>
        <w:div w:id="1326779937">
          <w:marLeft w:val="0"/>
          <w:marRight w:val="0"/>
          <w:marTop w:val="0"/>
          <w:marBottom w:val="0"/>
          <w:divBdr>
            <w:top w:val="none" w:sz="0" w:space="0" w:color="auto"/>
            <w:left w:val="none" w:sz="0" w:space="0" w:color="auto"/>
            <w:bottom w:val="none" w:sz="0" w:space="0" w:color="auto"/>
            <w:right w:val="none" w:sz="0" w:space="0" w:color="auto"/>
          </w:divBdr>
          <w:divsChild>
            <w:div w:id="1054506865">
              <w:marLeft w:val="0"/>
              <w:marRight w:val="0"/>
              <w:marTop w:val="0"/>
              <w:marBottom w:val="0"/>
              <w:divBdr>
                <w:top w:val="none" w:sz="0" w:space="0" w:color="auto"/>
                <w:left w:val="none" w:sz="0" w:space="0" w:color="auto"/>
                <w:bottom w:val="none" w:sz="0" w:space="0" w:color="auto"/>
                <w:right w:val="none" w:sz="0" w:space="0" w:color="auto"/>
              </w:divBdr>
            </w:div>
            <w:div w:id="1144618679">
              <w:marLeft w:val="0"/>
              <w:marRight w:val="0"/>
              <w:marTop w:val="0"/>
              <w:marBottom w:val="0"/>
              <w:divBdr>
                <w:top w:val="none" w:sz="0" w:space="0" w:color="auto"/>
                <w:left w:val="none" w:sz="0" w:space="0" w:color="auto"/>
                <w:bottom w:val="none" w:sz="0" w:space="0" w:color="auto"/>
                <w:right w:val="none" w:sz="0" w:space="0" w:color="auto"/>
              </w:divBdr>
            </w:div>
            <w:div w:id="1487163567">
              <w:marLeft w:val="0"/>
              <w:marRight w:val="0"/>
              <w:marTop w:val="0"/>
              <w:marBottom w:val="0"/>
              <w:divBdr>
                <w:top w:val="none" w:sz="0" w:space="0" w:color="auto"/>
                <w:left w:val="none" w:sz="0" w:space="0" w:color="auto"/>
                <w:bottom w:val="none" w:sz="0" w:space="0" w:color="auto"/>
                <w:right w:val="none" w:sz="0" w:space="0" w:color="auto"/>
              </w:divBdr>
            </w:div>
            <w:div w:id="1521120916">
              <w:marLeft w:val="0"/>
              <w:marRight w:val="0"/>
              <w:marTop w:val="0"/>
              <w:marBottom w:val="0"/>
              <w:divBdr>
                <w:top w:val="none" w:sz="0" w:space="0" w:color="auto"/>
                <w:left w:val="none" w:sz="0" w:space="0" w:color="auto"/>
                <w:bottom w:val="none" w:sz="0" w:space="0" w:color="auto"/>
                <w:right w:val="none" w:sz="0" w:space="0" w:color="auto"/>
              </w:divBdr>
            </w:div>
            <w:div w:id="18198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071">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0"/>
          <w:marRight w:val="0"/>
          <w:marTop w:val="0"/>
          <w:marBottom w:val="0"/>
          <w:divBdr>
            <w:top w:val="none" w:sz="0" w:space="0" w:color="auto"/>
            <w:left w:val="none" w:sz="0" w:space="0" w:color="auto"/>
            <w:bottom w:val="none" w:sz="0" w:space="0" w:color="auto"/>
            <w:right w:val="none" w:sz="0" w:space="0" w:color="auto"/>
          </w:divBdr>
          <w:divsChild>
            <w:div w:id="631668326">
              <w:marLeft w:val="0"/>
              <w:marRight w:val="0"/>
              <w:marTop w:val="0"/>
              <w:marBottom w:val="0"/>
              <w:divBdr>
                <w:top w:val="none" w:sz="0" w:space="0" w:color="auto"/>
                <w:left w:val="none" w:sz="0" w:space="0" w:color="auto"/>
                <w:bottom w:val="none" w:sz="0" w:space="0" w:color="auto"/>
                <w:right w:val="none" w:sz="0" w:space="0" w:color="auto"/>
              </w:divBdr>
            </w:div>
            <w:div w:id="1340622549">
              <w:marLeft w:val="0"/>
              <w:marRight w:val="0"/>
              <w:marTop w:val="0"/>
              <w:marBottom w:val="0"/>
              <w:divBdr>
                <w:top w:val="none" w:sz="0" w:space="0" w:color="auto"/>
                <w:left w:val="none" w:sz="0" w:space="0" w:color="auto"/>
                <w:bottom w:val="none" w:sz="0" w:space="0" w:color="auto"/>
                <w:right w:val="none" w:sz="0" w:space="0" w:color="auto"/>
              </w:divBdr>
            </w:div>
            <w:div w:id="1381635779">
              <w:marLeft w:val="0"/>
              <w:marRight w:val="0"/>
              <w:marTop w:val="0"/>
              <w:marBottom w:val="0"/>
              <w:divBdr>
                <w:top w:val="none" w:sz="0" w:space="0" w:color="auto"/>
                <w:left w:val="none" w:sz="0" w:space="0" w:color="auto"/>
                <w:bottom w:val="none" w:sz="0" w:space="0" w:color="auto"/>
                <w:right w:val="none" w:sz="0" w:space="0" w:color="auto"/>
              </w:divBdr>
            </w:div>
            <w:div w:id="1726297200">
              <w:marLeft w:val="0"/>
              <w:marRight w:val="0"/>
              <w:marTop w:val="0"/>
              <w:marBottom w:val="0"/>
              <w:divBdr>
                <w:top w:val="none" w:sz="0" w:space="0" w:color="auto"/>
                <w:left w:val="none" w:sz="0" w:space="0" w:color="auto"/>
                <w:bottom w:val="none" w:sz="0" w:space="0" w:color="auto"/>
                <w:right w:val="none" w:sz="0" w:space="0" w:color="auto"/>
              </w:divBdr>
            </w:div>
            <w:div w:id="19896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708">
      <w:bodyDiv w:val="1"/>
      <w:marLeft w:val="0"/>
      <w:marRight w:val="0"/>
      <w:marTop w:val="0"/>
      <w:marBottom w:val="0"/>
      <w:divBdr>
        <w:top w:val="none" w:sz="0" w:space="0" w:color="auto"/>
        <w:left w:val="none" w:sz="0" w:space="0" w:color="auto"/>
        <w:bottom w:val="none" w:sz="0" w:space="0" w:color="auto"/>
        <w:right w:val="none" w:sz="0" w:space="0" w:color="auto"/>
      </w:divBdr>
      <w:divsChild>
        <w:div w:id="1509250710">
          <w:marLeft w:val="0"/>
          <w:marRight w:val="0"/>
          <w:marTop w:val="0"/>
          <w:marBottom w:val="0"/>
          <w:divBdr>
            <w:top w:val="none" w:sz="0" w:space="0" w:color="auto"/>
            <w:left w:val="none" w:sz="0" w:space="0" w:color="auto"/>
            <w:bottom w:val="none" w:sz="0" w:space="0" w:color="auto"/>
            <w:right w:val="none" w:sz="0" w:space="0" w:color="auto"/>
          </w:divBdr>
          <w:divsChild>
            <w:div w:id="238709400">
              <w:marLeft w:val="0"/>
              <w:marRight w:val="0"/>
              <w:marTop w:val="0"/>
              <w:marBottom w:val="0"/>
              <w:divBdr>
                <w:top w:val="none" w:sz="0" w:space="0" w:color="auto"/>
                <w:left w:val="none" w:sz="0" w:space="0" w:color="auto"/>
                <w:bottom w:val="none" w:sz="0" w:space="0" w:color="auto"/>
                <w:right w:val="none" w:sz="0" w:space="0" w:color="auto"/>
              </w:divBdr>
            </w:div>
            <w:div w:id="648560475">
              <w:marLeft w:val="0"/>
              <w:marRight w:val="0"/>
              <w:marTop w:val="0"/>
              <w:marBottom w:val="0"/>
              <w:divBdr>
                <w:top w:val="none" w:sz="0" w:space="0" w:color="auto"/>
                <w:left w:val="none" w:sz="0" w:space="0" w:color="auto"/>
                <w:bottom w:val="none" w:sz="0" w:space="0" w:color="auto"/>
                <w:right w:val="none" w:sz="0" w:space="0" w:color="auto"/>
              </w:divBdr>
            </w:div>
            <w:div w:id="1528325160">
              <w:marLeft w:val="0"/>
              <w:marRight w:val="0"/>
              <w:marTop w:val="0"/>
              <w:marBottom w:val="0"/>
              <w:divBdr>
                <w:top w:val="none" w:sz="0" w:space="0" w:color="auto"/>
                <w:left w:val="none" w:sz="0" w:space="0" w:color="auto"/>
                <w:bottom w:val="none" w:sz="0" w:space="0" w:color="auto"/>
                <w:right w:val="none" w:sz="0" w:space="0" w:color="auto"/>
              </w:divBdr>
            </w:div>
            <w:div w:id="1874269790">
              <w:marLeft w:val="0"/>
              <w:marRight w:val="0"/>
              <w:marTop w:val="0"/>
              <w:marBottom w:val="0"/>
              <w:divBdr>
                <w:top w:val="none" w:sz="0" w:space="0" w:color="auto"/>
                <w:left w:val="none" w:sz="0" w:space="0" w:color="auto"/>
                <w:bottom w:val="none" w:sz="0" w:space="0" w:color="auto"/>
                <w:right w:val="none" w:sz="0" w:space="0" w:color="auto"/>
              </w:divBdr>
            </w:div>
            <w:div w:id="19672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0917">
      <w:bodyDiv w:val="1"/>
      <w:marLeft w:val="0"/>
      <w:marRight w:val="0"/>
      <w:marTop w:val="0"/>
      <w:marBottom w:val="0"/>
      <w:divBdr>
        <w:top w:val="none" w:sz="0" w:space="0" w:color="auto"/>
        <w:left w:val="none" w:sz="0" w:space="0" w:color="auto"/>
        <w:bottom w:val="none" w:sz="0" w:space="0" w:color="auto"/>
        <w:right w:val="none" w:sz="0" w:space="0" w:color="auto"/>
      </w:divBdr>
      <w:divsChild>
        <w:div w:id="984159229">
          <w:marLeft w:val="0"/>
          <w:marRight w:val="0"/>
          <w:marTop w:val="0"/>
          <w:marBottom w:val="0"/>
          <w:divBdr>
            <w:top w:val="none" w:sz="0" w:space="0" w:color="auto"/>
            <w:left w:val="none" w:sz="0" w:space="0" w:color="auto"/>
            <w:bottom w:val="none" w:sz="0" w:space="0" w:color="auto"/>
            <w:right w:val="none" w:sz="0" w:space="0" w:color="auto"/>
          </w:divBdr>
          <w:divsChild>
            <w:div w:id="384523892">
              <w:marLeft w:val="0"/>
              <w:marRight w:val="0"/>
              <w:marTop w:val="0"/>
              <w:marBottom w:val="0"/>
              <w:divBdr>
                <w:top w:val="none" w:sz="0" w:space="0" w:color="auto"/>
                <w:left w:val="none" w:sz="0" w:space="0" w:color="auto"/>
                <w:bottom w:val="none" w:sz="0" w:space="0" w:color="auto"/>
                <w:right w:val="none" w:sz="0" w:space="0" w:color="auto"/>
              </w:divBdr>
            </w:div>
            <w:div w:id="857351205">
              <w:marLeft w:val="0"/>
              <w:marRight w:val="0"/>
              <w:marTop w:val="0"/>
              <w:marBottom w:val="0"/>
              <w:divBdr>
                <w:top w:val="none" w:sz="0" w:space="0" w:color="auto"/>
                <w:left w:val="none" w:sz="0" w:space="0" w:color="auto"/>
                <w:bottom w:val="none" w:sz="0" w:space="0" w:color="auto"/>
                <w:right w:val="none" w:sz="0" w:space="0" w:color="auto"/>
              </w:divBdr>
            </w:div>
            <w:div w:id="10424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EFE2-38EB-438F-A7BA-9A8C9730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addition to its responsibility for managing Virginia’s state allocation of Justice Assistance Grant funds, the Department of Criminal Justice Services (DCJS) also administers most of the other federal justice assistance formula funds that come to the</vt:lpstr>
    </vt:vector>
  </TitlesOfParts>
  <Company>Northrop Grumman Corporation</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addition to its responsibility for managing Virginia’s state allocation of Justice Assistance Grant funds, the Department of Criminal Justice Services (DCJS) also administers most of the other federal justice assistance formula funds that come to the</dc:title>
  <dc:creator>Joe Marshall</dc:creator>
  <cp:lastModifiedBy>Janice Waddy</cp:lastModifiedBy>
  <cp:revision>2</cp:revision>
  <cp:lastPrinted>2014-05-23T13:18:00Z</cp:lastPrinted>
  <dcterms:created xsi:type="dcterms:W3CDTF">2016-06-29T19:56:00Z</dcterms:created>
  <dcterms:modified xsi:type="dcterms:W3CDTF">2016-06-29T19:56:00Z</dcterms:modified>
</cp:coreProperties>
</file>